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ECB3" w14:textId="1EACF0D5" w:rsidR="00481A23" w:rsidRPr="001A7327" w:rsidRDefault="00481A23" w:rsidP="00481A23">
      <w:pPr>
        <w:jc w:val="right"/>
        <w:rPr>
          <w:b/>
          <w:lang w:eastAsia="en-US"/>
        </w:rPr>
      </w:pPr>
      <w:proofErr w:type="spellStart"/>
      <w:r w:rsidRPr="001A7327">
        <w:rPr>
          <w:b/>
          <w:lang w:eastAsia="en-US"/>
        </w:rPr>
        <w:t>Pkp</w:t>
      </w:r>
      <w:proofErr w:type="spellEnd"/>
      <w:r w:rsidR="00603C0A">
        <w:rPr>
          <w:b/>
          <w:lang w:eastAsia="en-US"/>
        </w:rPr>
        <w:t xml:space="preserve"> 10</w:t>
      </w:r>
    </w:p>
    <w:p w14:paraId="39285DDA" w14:textId="6E874571" w:rsidR="00481A23" w:rsidRDefault="00481A23" w:rsidP="00481A23">
      <w:pPr>
        <w:jc w:val="right"/>
        <w:rPr>
          <w:b/>
          <w:lang w:eastAsia="en-US"/>
        </w:rPr>
      </w:pPr>
      <w:r w:rsidRPr="001A7327">
        <w:rPr>
          <w:b/>
          <w:lang w:eastAsia="en-US"/>
        </w:rPr>
        <w:t>Eelnõu nr</w:t>
      </w:r>
      <w:r w:rsidR="00603C0A">
        <w:rPr>
          <w:b/>
          <w:lang w:eastAsia="en-US"/>
        </w:rPr>
        <w:t xml:space="preserve"> 9</w:t>
      </w:r>
    </w:p>
    <w:p w14:paraId="5CA55154" w14:textId="77777777" w:rsidR="00124671" w:rsidRPr="00124671" w:rsidRDefault="00124671" w:rsidP="00481A23">
      <w:pPr>
        <w:jc w:val="right"/>
        <w:rPr>
          <w:b/>
          <w:u w:val="single"/>
          <w:lang w:eastAsia="en-US"/>
        </w:rPr>
      </w:pPr>
      <w:r w:rsidRPr="00124671">
        <w:rPr>
          <w:b/>
          <w:u w:val="single"/>
          <w:lang w:eastAsia="en-US"/>
        </w:rPr>
        <w:t>I lugemine</w:t>
      </w:r>
    </w:p>
    <w:p w14:paraId="4D2DFB40" w14:textId="7FFEC6BF" w:rsidR="00481A23" w:rsidRDefault="0063011A" w:rsidP="00481A23">
      <w:pPr>
        <w:jc w:val="right"/>
        <w:rPr>
          <w:i/>
          <w:lang w:eastAsia="en-US"/>
        </w:rPr>
      </w:pPr>
      <w:r>
        <w:rPr>
          <w:i/>
          <w:lang w:eastAsia="en-US"/>
        </w:rPr>
        <w:t>koosseisu</w:t>
      </w:r>
      <w:bookmarkStart w:id="0" w:name="_GoBack"/>
      <w:bookmarkEnd w:id="0"/>
      <w:r>
        <w:rPr>
          <w:i/>
          <w:lang w:eastAsia="en-US"/>
        </w:rPr>
        <w:t xml:space="preserve"> </w:t>
      </w:r>
      <w:r w:rsidR="00481A23" w:rsidRPr="001A7327">
        <w:rPr>
          <w:i/>
          <w:lang w:eastAsia="en-US"/>
        </w:rPr>
        <w:t>häälteenamus</w:t>
      </w:r>
    </w:p>
    <w:p w14:paraId="780CAA20" w14:textId="77777777" w:rsidR="00FC588B" w:rsidRPr="001A7327" w:rsidRDefault="00FC588B" w:rsidP="00481A23">
      <w:pPr>
        <w:jc w:val="right"/>
        <w:rPr>
          <w:i/>
          <w:lang w:eastAsia="en-US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820"/>
        <w:gridCol w:w="1100"/>
        <w:gridCol w:w="3368"/>
      </w:tblGrid>
      <w:tr w:rsidR="00481A23" w:rsidRPr="001A7327" w14:paraId="06F3A749" w14:textId="77777777" w:rsidTr="007C2716">
        <w:trPr>
          <w:cantSplit/>
        </w:trPr>
        <w:tc>
          <w:tcPr>
            <w:tcW w:w="9288" w:type="dxa"/>
            <w:gridSpan w:val="3"/>
          </w:tcPr>
          <w:p w14:paraId="18E792B3" w14:textId="77777777" w:rsidR="00481A23" w:rsidRPr="001A7327" w:rsidRDefault="00481A23" w:rsidP="007C2716">
            <w:pPr>
              <w:jc w:val="center"/>
              <w:rPr>
                <w:noProof/>
                <w:sz w:val="28"/>
                <w:szCs w:val="20"/>
                <w:lang w:eastAsia="en-US"/>
              </w:rPr>
            </w:pPr>
            <w:r w:rsidRPr="001A7327">
              <w:rPr>
                <w:noProof/>
                <w:sz w:val="28"/>
                <w:szCs w:val="20"/>
                <w:lang w:eastAsia="en-US"/>
              </w:rPr>
              <w:t>VIIMSI VALLAVOLIKOGU</w:t>
            </w:r>
          </w:p>
        </w:tc>
      </w:tr>
      <w:tr w:rsidR="00481A23" w:rsidRPr="001A7327" w14:paraId="659CFDEB" w14:textId="77777777" w:rsidTr="007C2716">
        <w:trPr>
          <w:cantSplit/>
        </w:trPr>
        <w:tc>
          <w:tcPr>
            <w:tcW w:w="9288" w:type="dxa"/>
            <w:gridSpan w:val="3"/>
          </w:tcPr>
          <w:p w14:paraId="4C654F38" w14:textId="77777777" w:rsidR="00481A23" w:rsidRPr="001A7327" w:rsidRDefault="00481A23" w:rsidP="007C2716">
            <w:pPr>
              <w:tabs>
                <w:tab w:val="left" w:pos="6521"/>
              </w:tabs>
              <w:jc w:val="center"/>
              <w:rPr>
                <w:b/>
                <w:noProof/>
                <w:szCs w:val="20"/>
                <w:lang w:eastAsia="en-US"/>
              </w:rPr>
            </w:pPr>
          </w:p>
        </w:tc>
      </w:tr>
      <w:tr w:rsidR="00481A23" w:rsidRPr="001A7327" w14:paraId="13F0EF31" w14:textId="77777777" w:rsidTr="007C2716">
        <w:trPr>
          <w:cantSplit/>
        </w:trPr>
        <w:tc>
          <w:tcPr>
            <w:tcW w:w="9288" w:type="dxa"/>
            <w:gridSpan w:val="3"/>
          </w:tcPr>
          <w:p w14:paraId="52C613C3" w14:textId="77777777" w:rsidR="00481A23" w:rsidRPr="001A7327" w:rsidRDefault="00481A23" w:rsidP="007C2716">
            <w:pPr>
              <w:jc w:val="center"/>
              <w:rPr>
                <w:b/>
                <w:bCs/>
                <w:noProof/>
                <w:sz w:val="28"/>
                <w:szCs w:val="20"/>
                <w:lang w:eastAsia="en-US"/>
              </w:rPr>
            </w:pPr>
            <w:r w:rsidRPr="001A7327">
              <w:rPr>
                <w:b/>
                <w:bCs/>
                <w:noProof/>
                <w:sz w:val="28"/>
                <w:szCs w:val="20"/>
                <w:lang w:eastAsia="en-US"/>
              </w:rPr>
              <w:t>MÄÄRUS</w:t>
            </w:r>
          </w:p>
        </w:tc>
      </w:tr>
      <w:tr w:rsidR="00481A23" w:rsidRPr="001A7327" w14:paraId="46AE23CC" w14:textId="77777777" w:rsidTr="007C2716">
        <w:trPr>
          <w:cantSplit/>
        </w:trPr>
        <w:tc>
          <w:tcPr>
            <w:tcW w:w="9288" w:type="dxa"/>
            <w:gridSpan w:val="3"/>
          </w:tcPr>
          <w:p w14:paraId="1D14EBFE" w14:textId="77777777"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14:paraId="194F6019" w14:textId="77777777" w:rsidTr="007C2716">
        <w:trPr>
          <w:cantSplit/>
        </w:trPr>
        <w:tc>
          <w:tcPr>
            <w:tcW w:w="9288" w:type="dxa"/>
            <w:gridSpan w:val="3"/>
          </w:tcPr>
          <w:p w14:paraId="21A02F9D" w14:textId="77777777"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14:paraId="022EC973" w14:textId="77777777" w:rsidTr="007C2716">
        <w:trPr>
          <w:cantSplit/>
        </w:trPr>
        <w:tc>
          <w:tcPr>
            <w:tcW w:w="5920" w:type="dxa"/>
            <w:gridSpan w:val="2"/>
          </w:tcPr>
          <w:p w14:paraId="15264C31" w14:textId="77777777"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  <w:r w:rsidRPr="001A7327">
              <w:rPr>
                <w:noProof/>
                <w:szCs w:val="20"/>
                <w:lang w:eastAsia="en-US"/>
              </w:rPr>
              <w:t>Viimsi</w:t>
            </w:r>
          </w:p>
        </w:tc>
        <w:tc>
          <w:tcPr>
            <w:tcW w:w="3368" w:type="dxa"/>
          </w:tcPr>
          <w:p w14:paraId="7945B49C" w14:textId="77777777" w:rsidR="00481A23" w:rsidRPr="001A7327" w:rsidRDefault="00481A23" w:rsidP="00D53241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  <w:r w:rsidRPr="001A7327">
              <w:rPr>
                <w:noProof/>
                <w:szCs w:val="20"/>
                <w:lang w:eastAsia="en-US"/>
              </w:rPr>
              <w:t xml:space="preserve"> </w:t>
            </w:r>
            <w:r w:rsidR="0063011A">
              <w:rPr>
                <w:noProof/>
                <w:szCs w:val="20"/>
                <w:lang w:eastAsia="en-US"/>
              </w:rPr>
              <w:t xml:space="preserve">            </w:t>
            </w:r>
            <w:r w:rsidR="00E20B8B">
              <w:rPr>
                <w:noProof/>
                <w:szCs w:val="20"/>
                <w:lang w:eastAsia="en-US"/>
              </w:rPr>
              <w:t>18</w:t>
            </w:r>
            <w:r w:rsidRPr="0063011A">
              <w:rPr>
                <w:noProof/>
                <w:szCs w:val="20"/>
                <w:lang w:eastAsia="en-US"/>
              </w:rPr>
              <w:t>.</w:t>
            </w:r>
            <w:r w:rsidR="00E20B8B">
              <w:rPr>
                <w:noProof/>
                <w:szCs w:val="20"/>
                <w:lang w:eastAsia="en-US"/>
              </w:rPr>
              <w:t xml:space="preserve"> juun</w:t>
            </w:r>
            <w:r w:rsidR="001801E1">
              <w:rPr>
                <w:noProof/>
                <w:szCs w:val="20"/>
                <w:lang w:eastAsia="en-US"/>
              </w:rPr>
              <w:t>i</w:t>
            </w:r>
            <w:r w:rsidR="00E20B8B">
              <w:rPr>
                <w:noProof/>
                <w:szCs w:val="20"/>
                <w:lang w:eastAsia="en-US"/>
              </w:rPr>
              <w:t xml:space="preserve"> 2019</w:t>
            </w:r>
            <w:r w:rsidRPr="0063011A">
              <w:rPr>
                <w:noProof/>
                <w:szCs w:val="20"/>
                <w:lang w:eastAsia="en-US"/>
              </w:rPr>
              <w:t xml:space="preserve"> nr</w:t>
            </w:r>
            <w:r w:rsidRPr="001A7327">
              <w:rPr>
                <w:noProof/>
                <w:szCs w:val="20"/>
                <w:lang w:eastAsia="en-US"/>
              </w:rPr>
              <w:t xml:space="preserve">  </w:t>
            </w:r>
          </w:p>
        </w:tc>
      </w:tr>
      <w:tr w:rsidR="00481A23" w:rsidRPr="001A7327" w14:paraId="1DCDBC16" w14:textId="77777777" w:rsidTr="007C2716">
        <w:trPr>
          <w:cantSplit/>
        </w:trPr>
        <w:tc>
          <w:tcPr>
            <w:tcW w:w="9288" w:type="dxa"/>
            <w:gridSpan w:val="3"/>
          </w:tcPr>
          <w:p w14:paraId="57F2EF28" w14:textId="77777777" w:rsidR="00481A23" w:rsidRPr="001A7327" w:rsidRDefault="00481A23" w:rsidP="007C2716">
            <w:pPr>
              <w:rPr>
                <w:noProof/>
                <w:szCs w:val="20"/>
                <w:lang w:eastAsia="en-US"/>
              </w:rPr>
            </w:pPr>
          </w:p>
        </w:tc>
      </w:tr>
      <w:tr w:rsidR="00481A23" w:rsidRPr="001A7327" w14:paraId="5D7EF361" w14:textId="77777777" w:rsidTr="007C2716">
        <w:trPr>
          <w:cantSplit/>
        </w:trPr>
        <w:tc>
          <w:tcPr>
            <w:tcW w:w="9288" w:type="dxa"/>
            <w:gridSpan w:val="3"/>
          </w:tcPr>
          <w:p w14:paraId="78B54758" w14:textId="77777777"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14:paraId="0A6C5844" w14:textId="77777777" w:rsidTr="0063011A">
        <w:trPr>
          <w:cantSplit/>
        </w:trPr>
        <w:tc>
          <w:tcPr>
            <w:tcW w:w="4820" w:type="dxa"/>
          </w:tcPr>
          <w:p w14:paraId="6A4BA62E" w14:textId="77777777" w:rsidR="00481A23" w:rsidRPr="0063011A" w:rsidRDefault="00481A23" w:rsidP="00E20B8B">
            <w:pPr>
              <w:tabs>
                <w:tab w:val="left" w:pos="6521"/>
              </w:tabs>
              <w:rPr>
                <w:szCs w:val="20"/>
                <w:lang w:eastAsia="en-US"/>
              </w:rPr>
            </w:pPr>
            <w:r w:rsidRPr="001A7327">
              <w:rPr>
                <w:szCs w:val="20"/>
                <w:lang w:eastAsia="en-US"/>
              </w:rPr>
              <w:t xml:space="preserve">Viimsi valla </w:t>
            </w:r>
            <w:r w:rsidR="00E20B8B">
              <w:rPr>
                <w:szCs w:val="20"/>
                <w:lang w:eastAsia="en-US"/>
              </w:rPr>
              <w:t>tänavavalgustuse arengukava 2019</w:t>
            </w:r>
            <w:r w:rsidRPr="001A7327">
              <w:rPr>
                <w:szCs w:val="20"/>
                <w:lang w:eastAsia="en-US"/>
              </w:rPr>
              <w:t>-202</w:t>
            </w:r>
            <w:r w:rsidR="00E20B8B">
              <w:rPr>
                <w:szCs w:val="20"/>
                <w:lang w:eastAsia="en-US"/>
              </w:rPr>
              <w:t>9</w:t>
            </w:r>
            <w:r w:rsidR="00FC588B">
              <w:rPr>
                <w:szCs w:val="20"/>
                <w:lang w:eastAsia="en-US"/>
              </w:rPr>
              <w:t xml:space="preserve"> vastuvõtmine</w:t>
            </w:r>
          </w:p>
        </w:tc>
        <w:tc>
          <w:tcPr>
            <w:tcW w:w="4468" w:type="dxa"/>
            <w:gridSpan w:val="2"/>
          </w:tcPr>
          <w:p w14:paraId="733319A9" w14:textId="77777777"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14:paraId="2D5F55B6" w14:textId="77777777" w:rsidTr="007C2716">
        <w:trPr>
          <w:cantSplit/>
        </w:trPr>
        <w:tc>
          <w:tcPr>
            <w:tcW w:w="9288" w:type="dxa"/>
            <w:gridSpan w:val="3"/>
          </w:tcPr>
          <w:p w14:paraId="7982E385" w14:textId="77777777"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14:paraId="56E02C5E" w14:textId="77777777" w:rsidTr="007C2716">
        <w:trPr>
          <w:cantSplit/>
        </w:trPr>
        <w:tc>
          <w:tcPr>
            <w:tcW w:w="9288" w:type="dxa"/>
            <w:gridSpan w:val="3"/>
          </w:tcPr>
          <w:p w14:paraId="3D67EC47" w14:textId="77777777"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14:paraId="019D306D" w14:textId="77777777" w:rsidTr="007C2716">
        <w:trPr>
          <w:cantSplit/>
        </w:trPr>
        <w:tc>
          <w:tcPr>
            <w:tcW w:w="9288" w:type="dxa"/>
            <w:gridSpan w:val="3"/>
          </w:tcPr>
          <w:p w14:paraId="71130469" w14:textId="77777777" w:rsidR="00481A23" w:rsidRPr="001A7327" w:rsidRDefault="00481A23" w:rsidP="000B5D02">
            <w:pPr>
              <w:tabs>
                <w:tab w:val="left" w:pos="6521"/>
              </w:tabs>
              <w:jc w:val="both"/>
              <w:rPr>
                <w:noProof/>
                <w:szCs w:val="20"/>
                <w:lang w:eastAsia="en-US"/>
              </w:rPr>
            </w:pPr>
            <w:r w:rsidRPr="001A7327">
              <w:rPr>
                <w:szCs w:val="20"/>
                <w:lang w:eastAsia="en-US"/>
              </w:rPr>
              <w:t>Määrus kehtestatakse kohaliku omavalitsus</w:t>
            </w:r>
            <w:r>
              <w:rPr>
                <w:szCs w:val="20"/>
                <w:lang w:eastAsia="en-US"/>
              </w:rPr>
              <w:t>e korralduse seaduse § 6 lõike 1</w:t>
            </w:r>
            <w:r w:rsidRPr="001A7327">
              <w:rPr>
                <w:szCs w:val="20"/>
                <w:lang w:eastAsia="en-US"/>
              </w:rPr>
              <w:t xml:space="preserve">, </w:t>
            </w:r>
            <w:r>
              <w:rPr>
                <w:szCs w:val="20"/>
                <w:lang w:eastAsia="en-US"/>
              </w:rPr>
              <w:t>§ 37 lõike 3</w:t>
            </w:r>
            <w:r w:rsidRPr="001A7327">
              <w:rPr>
                <w:szCs w:val="20"/>
                <w:lang w:eastAsia="en-US"/>
              </w:rPr>
              <w:t xml:space="preserve"> punk</w:t>
            </w:r>
            <w:r w:rsidR="00FC588B">
              <w:rPr>
                <w:szCs w:val="20"/>
                <w:lang w:eastAsia="en-US"/>
              </w:rPr>
              <w:t>ti 2 alusel</w:t>
            </w:r>
            <w:r w:rsidR="000B5D02">
              <w:rPr>
                <w:szCs w:val="20"/>
                <w:lang w:eastAsia="en-US"/>
              </w:rPr>
              <w:t>.</w:t>
            </w:r>
          </w:p>
        </w:tc>
      </w:tr>
      <w:tr w:rsidR="00481A23" w:rsidRPr="001A7327" w14:paraId="649EA1A5" w14:textId="77777777" w:rsidTr="007C2716">
        <w:trPr>
          <w:cantSplit/>
        </w:trPr>
        <w:tc>
          <w:tcPr>
            <w:tcW w:w="9288" w:type="dxa"/>
            <w:gridSpan w:val="3"/>
          </w:tcPr>
          <w:p w14:paraId="065777E1" w14:textId="77777777"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14:paraId="48167BE8" w14:textId="77777777" w:rsidTr="007C2716">
        <w:trPr>
          <w:cantSplit/>
        </w:trPr>
        <w:tc>
          <w:tcPr>
            <w:tcW w:w="9288" w:type="dxa"/>
            <w:gridSpan w:val="3"/>
          </w:tcPr>
          <w:p w14:paraId="34AC110A" w14:textId="77777777"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</w:tbl>
    <w:p w14:paraId="219C53DE" w14:textId="77777777" w:rsidR="00481A23" w:rsidRPr="0063011A" w:rsidRDefault="00FC588B" w:rsidP="00481A23">
      <w:pPr>
        <w:numPr>
          <w:ilvl w:val="0"/>
          <w:numId w:val="2"/>
        </w:numPr>
        <w:tabs>
          <w:tab w:val="clear" w:pos="720"/>
        </w:tabs>
        <w:spacing w:before="120"/>
        <w:ind w:left="540" w:hanging="540"/>
        <w:jc w:val="both"/>
        <w:rPr>
          <w:noProof/>
          <w:spacing w:val="-4"/>
          <w:szCs w:val="20"/>
          <w:lang w:eastAsia="en-US"/>
        </w:rPr>
      </w:pPr>
      <w:r>
        <w:rPr>
          <w:noProof/>
          <w:spacing w:val="-4"/>
          <w:szCs w:val="20"/>
          <w:lang w:eastAsia="en-US"/>
        </w:rPr>
        <w:t>Võtta vastu</w:t>
      </w:r>
      <w:r w:rsidR="00481A23" w:rsidRPr="001A7327">
        <w:rPr>
          <w:noProof/>
          <w:spacing w:val="-4"/>
          <w:szCs w:val="20"/>
          <w:lang w:eastAsia="en-US"/>
        </w:rPr>
        <w:t xml:space="preserve"> Viimsi </w:t>
      </w:r>
      <w:r w:rsidR="00E20B8B">
        <w:rPr>
          <w:noProof/>
          <w:spacing w:val="-4"/>
          <w:szCs w:val="20"/>
          <w:lang w:eastAsia="en-US"/>
        </w:rPr>
        <w:t>tänavavalgustuse arengukava 2019-2029</w:t>
      </w:r>
      <w:r>
        <w:rPr>
          <w:noProof/>
          <w:spacing w:val="-4"/>
          <w:szCs w:val="20"/>
          <w:lang w:eastAsia="en-US"/>
        </w:rPr>
        <w:t xml:space="preserve"> (juurde lisatud)</w:t>
      </w:r>
      <w:r w:rsidR="000B5D02">
        <w:rPr>
          <w:noProof/>
          <w:spacing w:val="-4"/>
          <w:szCs w:val="20"/>
          <w:lang w:eastAsia="en-US"/>
        </w:rPr>
        <w:t>.</w:t>
      </w:r>
    </w:p>
    <w:p w14:paraId="054A244C" w14:textId="77777777" w:rsidR="00481A23" w:rsidRPr="001A7327" w:rsidRDefault="00481A23" w:rsidP="00481A23">
      <w:pPr>
        <w:numPr>
          <w:ilvl w:val="0"/>
          <w:numId w:val="2"/>
        </w:numPr>
        <w:tabs>
          <w:tab w:val="clear" w:pos="720"/>
        </w:tabs>
        <w:spacing w:before="120"/>
        <w:ind w:left="540" w:hanging="540"/>
        <w:jc w:val="both"/>
        <w:rPr>
          <w:b/>
          <w:noProof/>
          <w:spacing w:val="-4"/>
          <w:szCs w:val="20"/>
          <w:lang w:eastAsia="en-US"/>
        </w:rPr>
      </w:pPr>
      <w:r w:rsidRPr="001A7327">
        <w:rPr>
          <w:szCs w:val="20"/>
          <w:lang w:eastAsia="en-US"/>
        </w:rPr>
        <w:t>Määrus</w:t>
      </w:r>
      <w:r w:rsidRPr="001A7327">
        <w:rPr>
          <w:bCs/>
          <w:szCs w:val="20"/>
          <w:lang w:eastAsia="en-US"/>
        </w:rPr>
        <w:t xml:space="preserve"> jõustub </w:t>
      </w:r>
      <w:r w:rsidR="000B5D02">
        <w:rPr>
          <w:bCs/>
          <w:szCs w:val="20"/>
          <w:lang w:eastAsia="en-US"/>
        </w:rPr>
        <w:t>kolmandal</w:t>
      </w:r>
      <w:r w:rsidRPr="001A7327">
        <w:rPr>
          <w:bCs/>
          <w:szCs w:val="20"/>
          <w:lang w:eastAsia="en-US"/>
        </w:rPr>
        <w:t xml:space="preserve"> päeval pärast avalikustamist Riigi Teatajas</w:t>
      </w:r>
      <w:r w:rsidRPr="001A7327">
        <w:rPr>
          <w:noProof/>
          <w:spacing w:val="-4"/>
          <w:szCs w:val="20"/>
          <w:lang w:eastAsia="en-US"/>
        </w:rPr>
        <w:t>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6001"/>
        <w:gridCol w:w="3287"/>
      </w:tblGrid>
      <w:tr w:rsidR="00481A23" w:rsidRPr="001A7327" w14:paraId="47DC2774" w14:textId="77777777" w:rsidTr="007C2716">
        <w:trPr>
          <w:cantSplit/>
        </w:trPr>
        <w:tc>
          <w:tcPr>
            <w:tcW w:w="9288" w:type="dxa"/>
            <w:gridSpan w:val="2"/>
          </w:tcPr>
          <w:p w14:paraId="085F3761" w14:textId="77777777"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14:paraId="01B7A44A" w14:textId="77777777" w:rsidTr="007C2716">
        <w:trPr>
          <w:cantSplit/>
        </w:trPr>
        <w:tc>
          <w:tcPr>
            <w:tcW w:w="9288" w:type="dxa"/>
            <w:gridSpan w:val="2"/>
          </w:tcPr>
          <w:p w14:paraId="63E27537" w14:textId="77777777"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14:paraId="4191DD08" w14:textId="77777777" w:rsidTr="007C2716">
        <w:trPr>
          <w:cantSplit/>
        </w:trPr>
        <w:tc>
          <w:tcPr>
            <w:tcW w:w="9288" w:type="dxa"/>
            <w:gridSpan w:val="2"/>
          </w:tcPr>
          <w:p w14:paraId="7D264E2C" w14:textId="77777777"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14:paraId="128A9FC5" w14:textId="77777777" w:rsidTr="007C2716">
        <w:trPr>
          <w:cantSplit/>
        </w:trPr>
        <w:tc>
          <w:tcPr>
            <w:tcW w:w="9288" w:type="dxa"/>
            <w:gridSpan w:val="2"/>
          </w:tcPr>
          <w:p w14:paraId="13D94DCE" w14:textId="77777777"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14:paraId="473CEAD6" w14:textId="77777777" w:rsidTr="007C2716">
        <w:trPr>
          <w:cantSplit/>
        </w:trPr>
        <w:tc>
          <w:tcPr>
            <w:tcW w:w="9288" w:type="dxa"/>
            <w:gridSpan w:val="2"/>
          </w:tcPr>
          <w:p w14:paraId="6B200A6D" w14:textId="77777777"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14:paraId="57E7DB4E" w14:textId="77777777" w:rsidTr="007C2716">
        <w:trPr>
          <w:cantSplit/>
        </w:trPr>
        <w:tc>
          <w:tcPr>
            <w:tcW w:w="6001" w:type="dxa"/>
          </w:tcPr>
          <w:p w14:paraId="0709FBAC" w14:textId="77777777" w:rsidR="00481A23" w:rsidRPr="001A7327" w:rsidRDefault="00E11B89" w:rsidP="00E20B8B">
            <w:pPr>
              <w:tabs>
                <w:tab w:val="left" w:pos="6521"/>
              </w:tabs>
              <w:ind w:left="-105"/>
              <w:rPr>
                <w:noProof/>
                <w:szCs w:val="20"/>
                <w:lang w:eastAsia="en-US"/>
              </w:rPr>
            </w:pPr>
            <w:r>
              <w:rPr>
                <w:noProof/>
                <w:szCs w:val="20"/>
                <w:lang w:eastAsia="en-US"/>
              </w:rPr>
              <w:t>Taavi Kotka</w:t>
            </w:r>
          </w:p>
        </w:tc>
        <w:tc>
          <w:tcPr>
            <w:tcW w:w="3287" w:type="dxa"/>
          </w:tcPr>
          <w:p w14:paraId="2508A67D" w14:textId="77777777"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14:paraId="2765766F" w14:textId="77777777" w:rsidTr="007C2716">
        <w:trPr>
          <w:cantSplit/>
        </w:trPr>
        <w:tc>
          <w:tcPr>
            <w:tcW w:w="6001" w:type="dxa"/>
          </w:tcPr>
          <w:p w14:paraId="74D52DA1" w14:textId="77777777" w:rsidR="00481A23" w:rsidRPr="001A7327" w:rsidRDefault="00481A23" w:rsidP="00E20B8B">
            <w:pPr>
              <w:tabs>
                <w:tab w:val="left" w:pos="6521"/>
              </w:tabs>
              <w:ind w:left="-105"/>
              <w:rPr>
                <w:noProof/>
                <w:szCs w:val="20"/>
                <w:lang w:eastAsia="en-US"/>
              </w:rPr>
            </w:pPr>
            <w:r w:rsidRPr="001A7327">
              <w:rPr>
                <w:noProof/>
                <w:szCs w:val="20"/>
                <w:lang w:eastAsia="en-US"/>
              </w:rPr>
              <w:t>Vallavolikogu esimees</w:t>
            </w:r>
          </w:p>
        </w:tc>
        <w:tc>
          <w:tcPr>
            <w:tcW w:w="3287" w:type="dxa"/>
          </w:tcPr>
          <w:p w14:paraId="314461B7" w14:textId="77777777"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</w:tbl>
    <w:p w14:paraId="7A7D48B4" w14:textId="77777777" w:rsidR="00481A23" w:rsidRDefault="00481A23" w:rsidP="00481A23">
      <w:pPr>
        <w:rPr>
          <w:lang w:eastAsia="en-US"/>
        </w:rPr>
      </w:pPr>
    </w:p>
    <w:p w14:paraId="335B0D10" w14:textId="77777777" w:rsidR="0063011A" w:rsidRPr="001A7327" w:rsidRDefault="0063011A" w:rsidP="00481A23">
      <w:pPr>
        <w:rPr>
          <w:lang w:eastAsia="en-US"/>
        </w:rPr>
      </w:pPr>
    </w:p>
    <w:p w14:paraId="4710F967" w14:textId="77777777" w:rsidR="00481A23" w:rsidRPr="001A7327" w:rsidRDefault="00481A23" w:rsidP="00481A23">
      <w:pPr>
        <w:rPr>
          <w:lang w:eastAsia="en-US"/>
        </w:rPr>
      </w:pPr>
      <w:r w:rsidRPr="001A7327">
        <w:rPr>
          <w:lang w:eastAsia="en-US"/>
        </w:rPr>
        <w:t xml:space="preserve">Eelnõu esitaja: </w:t>
      </w:r>
      <w:r w:rsidRPr="001A7327">
        <w:rPr>
          <w:lang w:eastAsia="en-US"/>
        </w:rPr>
        <w:tab/>
      </w:r>
      <w:r w:rsidR="000B5D02">
        <w:rPr>
          <w:lang w:eastAsia="en-US"/>
        </w:rPr>
        <w:t>Viimsi Vallavalitsus</w:t>
      </w:r>
      <w:r w:rsidR="00B4419F">
        <w:rPr>
          <w:lang w:eastAsia="en-US"/>
        </w:rPr>
        <w:t>e</w:t>
      </w:r>
      <w:r w:rsidR="00B4419F" w:rsidRPr="00B4419F">
        <w:rPr>
          <w:lang w:eastAsia="en-US"/>
        </w:rPr>
        <w:t xml:space="preserve"> </w:t>
      </w:r>
      <w:r w:rsidR="00E11B89">
        <w:rPr>
          <w:lang w:eastAsia="en-US"/>
        </w:rPr>
        <w:t xml:space="preserve">ehitus- ja </w:t>
      </w:r>
      <w:r w:rsidR="00E20B8B">
        <w:rPr>
          <w:lang w:eastAsia="en-US"/>
        </w:rPr>
        <w:t>kommunaalosakond</w:t>
      </w:r>
    </w:p>
    <w:p w14:paraId="713CAF0B" w14:textId="77777777" w:rsidR="00481A23" w:rsidRPr="001A7327" w:rsidRDefault="00481A23" w:rsidP="00481A23">
      <w:pPr>
        <w:rPr>
          <w:lang w:eastAsia="en-US"/>
        </w:rPr>
      </w:pPr>
      <w:r w:rsidRPr="001A7327">
        <w:rPr>
          <w:lang w:eastAsia="en-US"/>
        </w:rPr>
        <w:t xml:space="preserve">Eelnõu koostaja: </w:t>
      </w:r>
      <w:r w:rsidRPr="001A7327">
        <w:rPr>
          <w:lang w:eastAsia="en-US"/>
        </w:rPr>
        <w:tab/>
      </w:r>
      <w:r w:rsidR="00E11B89">
        <w:rPr>
          <w:lang w:eastAsia="en-US"/>
        </w:rPr>
        <w:t xml:space="preserve">Alar Mik, </w:t>
      </w:r>
      <w:r w:rsidR="00E20B8B">
        <w:rPr>
          <w:lang w:eastAsia="en-US"/>
        </w:rPr>
        <w:t>ehitus- ja kommunaalosakonna juhataja</w:t>
      </w:r>
    </w:p>
    <w:p w14:paraId="401435E7" w14:textId="77777777" w:rsidR="00481A23" w:rsidRPr="001A7327" w:rsidRDefault="00481A23" w:rsidP="00481A23">
      <w:pPr>
        <w:rPr>
          <w:lang w:eastAsia="en-US"/>
        </w:rPr>
      </w:pPr>
    </w:p>
    <w:p w14:paraId="6264B0F6" w14:textId="77777777" w:rsidR="00481A23" w:rsidRPr="001A7327" w:rsidRDefault="00481A23" w:rsidP="00481A23">
      <w:pPr>
        <w:rPr>
          <w:lang w:eastAsia="en-US"/>
        </w:rPr>
      </w:pPr>
      <w:r w:rsidRPr="001A7327">
        <w:rPr>
          <w:lang w:eastAsia="en-US"/>
        </w:rPr>
        <w:t>Kooskõlastanud:</w:t>
      </w:r>
    </w:p>
    <w:p w14:paraId="4BE5C999" w14:textId="77777777" w:rsidR="00481A23" w:rsidRPr="001A7327" w:rsidRDefault="00481A23" w:rsidP="00481A23">
      <w:pPr>
        <w:rPr>
          <w:lang w:eastAsia="en-US"/>
        </w:rPr>
      </w:pPr>
    </w:p>
    <w:p w14:paraId="4973D291" w14:textId="77777777" w:rsidR="00481A23" w:rsidRPr="001A7327" w:rsidRDefault="00481A23" w:rsidP="00481A23">
      <w:pPr>
        <w:rPr>
          <w:lang w:eastAsia="en-US"/>
        </w:rPr>
      </w:pPr>
    </w:p>
    <w:p w14:paraId="7B61D24C" w14:textId="77777777" w:rsidR="00481A23" w:rsidRDefault="00481A23"/>
    <w:p w14:paraId="72CDB4B4" w14:textId="77777777" w:rsidR="000B5D02" w:rsidRDefault="000B5D02"/>
    <w:p w14:paraId="589A4A69" w14:textId="77777777" w:rsidR="000B5D02" w:rsidRDefault="00E20B8B">
      <w:r>
        <w:t>Margus Kruusmägi</w:t>
      </w:r>
      <w:r w:rsidR="000B5D02">
        <w:tab/>
      </w:r>
      <w:r w:rsidR="000B5D02">
        <w:tab/>
      </w:r>
      <w:r w:rsidR="004931F5">
        <w:t>Alar Mik</w:t>
      </w:r>
      <w:r w:rsidR="00E11B89">
        <w:tab/>
      </w:r>
      <w:r w:rsidR="00E11B89">
        <w:tab/>
      </w:r>
    </w:p>
    <w:p w14:paraId="32258313" w14:textId="77777777" w:rsidR="00E20B8B" w:rsidRDefault="00FC588B" w:rsidP="00E20B8B">
      <w:r>
        <w:t>abi</w:t>
      </w:r>
      <w:r w:rsidR="008443C1">
        <w:t>v</w:t>
      </w:r>
      <w:r w:rsidR="000B5D02">
        <w:t>allavanem</w:t>
      </w:r>
      <w:r w:rsidR="000B5D02">
        <w:tab/>
      </w:r>
      <w:r w:rsidR="000B5D02">
        <w:tab/>
      </w:r>
      <w:r>
        <w:tab/>
      </w:r>
      <w:r w:rsidR="00E20B8B">
        <w:t xml:space="preserve">ehitus- ja kommunaalosakonna juhataja </w:t>
      </w:r>
    </w:p>
    <w:p w14:paraId="64223D14" w14:textId="77777777" w:rsidR="004931F5" w:rsidRDefault="004931F5" w:rsidP="004931F5">
      <w:pPr>
        <w:ind w:left="1416" w:hanging="1416"/>
      </w:pPr>
    </w:p>
    <w:p w14:paraId="108E058E" w14:textId="77777777" w:rsidR="00481A23" w:rsidRDefault="00481A23"/>
    <w:p w14:paraId="3377D188" w14:textId="77777777" w:rsidR="00481A23" w:rsidRDefault="00481A23"/>
    <w:p w14:paraId="16AE2A0C" w14:textId="77777777" w:rsidR="000B5D02" w:rsidRDefault="004931F5">
      <w:r>
        <w:t>Helen Rives</w:t>
      </w:r>
      <w:r w:rsidR="00B4419F">
        <w:tab/>
      </w:r>
    </w:p>
    <w:p w14:paraId="328FC775" w14:textId="77777777" w:rsidR="00FC588B" w:rsidRDefault="000B5D02">
      <w:r>
        <w:t>vallasekretär</w:t>
      </w:r>
    </w:p>
    <w:p w14:paraId="50E396B7" w14:textId="77777777" w:rsidR="00FC588B" w:rsidRDefault="00FC588B">
      <w:pPr>
        <w:spacing w:after="160" w:line="259" w:lineRule="auto"/>
      </w:pPr>
      <w:r>
        <w:br w:type="page"/>
      </w:r>
    </w:p>
    <w:p w14:paraId="4619C1B2" w14:textId="77777777" w:rsidR="00481A23" w:rsidRDefault="00481A23"/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4589"/>
        <w:gridCol w:w="4519"/>
      </w:tblGrid>
      <w:tr w:rsidR="00481A23" w:rsidRPr="001A7327" w14:paraId="658DC115" w14:textId="77777777" w:rsidTr="00B4419F">
        <w:trPr>
          <w:cantSplit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8B3FC" w14:textId="77777777" w:rsidR="00481A23" w:rsidRPr="001A7327" w:rsidRDefault="00481A23" w:rsidP="007C2716">
            <w:pPr>
              <w:tabs>
                <w:tab w:val="left" w:pos="6521"/>
              </w:tabs>
              <w:rPr>
                <w:b/>
                <w:bCs/>
                <w:lang w:eastAsia="en-US"/>
              </w:rPr>
            </w:pPr>
            <w:r w:rsidRPr="001A7327">
              <w:rPr>
                <w:b/>
                <w:bCs/>
                <w:lang w:eastAsia="en-US"/>
              </w:rPr>
              <w:t>Seletuskiri</w:t>
            </w:r>
          </w:p>
        </w:tc>
      </w:tr>
      <w:tr w:rsidR="00481A23" w:rsidRPr="001A7327" w14:paraId="349D21BB" w14:textId="77777777" w:rsidTr="00B4419F">
        <w:trPr>
          <w:cantSplit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52A1C" w14:textId="77777777" w:rsidR="00481A23" w:rsidRPr="001A7327" w:rsidRDefault="00481A23" w:rsidP="007C2716">
            <w:pPr>
              <w:tabs>
                <w:tab w:val="left" w:pos="6521"/>
              </w:tabs>
              <w:rPr>
                <w:lang w:eastAsia="en-US"/>
              </w:rPr>
            </w:pPr>
          </w:p>
        </w:tc>
      </w:tr>
      <w:tr w:rsidR="00481A23" w:rsidRPr="001A7327" w14:paraId="157DF1D4" w14:textId="77777777" w:rsidTr="00B4419F">
        <w:trPr>
          <w:cantSplit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0B23C732" w14:textId="77777777" w:rsidR="00481A23" w:rsidRPr="0063011A" w:rsidRDefault="00481A23" w:rsidP="00E20B8B">
            <w:pPr>
              <w:tabs>
                <w:tab w:val="left" w:pos="6521"/>
              </w:tabs>
              <w:rPr>
                <w:lang w:eastAsia="en-US"/>
              </w:rPr>
            </w:pPr>
            <w:r w:rsidRPr="0063011A">
              <w:rPr>
                <w:lang w:eastAsia="en-US"/>
              </w:rPr>
              <w:t xml:space="preserve">Viimsi Vallavolikogu määruse “Viimsi valla </w:t>
            </w:r>
            <w:r w:rsidR="00E20B8B">
              <w:rPr>
                <w:szCs w:val="20"/>
                <w:lang w:eastAsia="en-US"/>
              </w:rPr>
              <w:t>tänavavalgustuse</w:t>
            </w:r>
            <w:r w:rsidRPr="0063011A">
              <w:rPr>
                <w:lang w:eastAsia="en-US"/>
              </w:rPr>
              <w:t xml:space="preserve"> arengukava </w:t>
            </w:r>
            <w:r w:rsidR="00E20B8B">
              <w:rPr>
                <w:lang w:eastAsia="en-US"/>
              </w:rPr>
              <w:t>2019</w:t>
            </w:r>
            <w:r w:rsidRPr="0063011A">
              <w:rPr>
                <w:lang w:eastAsia="en-US"/>
              </w:rPr>
              <w:t xml:space="preserve"> </w:t>
            </w:r>
            <w:r w:rsidR="000B5D02" w:rsidRPr="0063011A">
              <w:rPr>
                <w:lang w:eastAsia="en-US"/>
              </w:rPr>
              <w:t>–</w:t>
            </w:r>
            <w:r w:rsidR="00E20B8B">
              <w:rPr>
                <w:lang w:eastAsia="en-US"/>
              </w:rPr>
              <w:t xml:space="preserve"> 2029</w:t>
            </w:r>
            <w:r w:rsidR="00CE2F00">
              <w:rPr>
                <w:lang w:eastAsia="en-US"/>
              </w:rPr>
              <w:t xml:space="preserve"> vastuvõtmine</w:t>
            </w:r>
            <w:r w:rsidRPr="0063011A">
              <w:rPr>
                <w:lang w:eastAsia="en-US"/>
              </w:rPr>
              <w:t>“ eelnõu juurde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769D8ED8" w14:textId="77777777" w:rsidR="00481A23" w:rsidRPr="001A7327" w:rsidRDefault="00481A23" w:rsidP="007C2716">
            <w:pPr>
              <w:tabs>
                <w:tab w:val="left" w:pos="6521"/>
              </w:tabs>
              <w:jc w:val="both"/>
              <w:rPr>
                <w:lang w:eastAsia="en-US"/>
              </w:rPr>
            </w:pPr>
          </w:p>
        </w:tc>
      </w:tr>
      <w:tr w:rsidR="00481A23" w:rsidRPr="001A7327" w14:paraId="3D3FCBF2" w14:textId="77777777" w:rsidTr="00B4419F">
        <w:trPr>
          <w:cantSplit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30126" w14:textId="77777777" w:rsidR="00481A23" w:rsidRPr="001A7327" w:rsidRDefault="00481A23" w:rsidP="007C2716">
            <w:pPr>
              <w:tabs>
                <w:tab w:val="left" w:pos="6521"/>
              </w:tabs>
              <w:rPr>
                <w:lang w:eastAsia="en-US"/>
              </w:rPr>
            </w:pPr>
          </w:p>
        </w:tc>
      </w:tr>
      <w:tr w:rsidR="00481A23" w:rsidRPr="001A7327" w14:paraId="6C869B4C" w14:textId="77777777" w:rsidTr="00B4419F">
        <w:trPr>
          <w:cantSplit/>
          <w:trHeight w:val="344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FE525" w14:textId="77777777" w:rsidR="00481A23" w:rsidRPr="001A7327" w:rsidRDefault="00481A23" w:rsidP="007C2716">
            <w:pPr>
              <w:tabs>
                <w:tab w:val="left" w:pos="6521"/>
              </w:tabs>
              <w:rPr>
                <w:lang w:eastAsia="en-US"/>
              </w:rPr>
            </w:pPr>
          </w:p>
        </w:tc>
      </w:tr>
    </w:tbl>
    <w:p w14:paraId="0300B12B" w14:textId="77777777" w:rsidR="00481A23" w:rsidRDefault="00481A23" w:rsidP="00481A23">
      <w:pPr>
        <w:numPr>
          <w:ilvl w:val="0"/>
          <w:numId w:val="1"/>
        </w:numPr>
        <w:jc w:val="both"/>
        <w:rPr>
          <w:b/>
          <w:bCs/>
          <w:lang w:eastAsia="en-US"/>
        </w:rPr>
      </w:pPr>
      <w:r w:rsidRPr="001A7327">
        <w:rPr>
          <w:b/>
          <w:bCs/>
          <w:lang w:eastAsia="en-US"/>
        </w:rPr>
        <w:t>Sissejuhatus</w:t>
      </w:r>
    </w:p>
    <w:p w14:paraId="4C996A27" w14:textId="77777777" w:rsidR="004509BA" w:rsidRPr="001A7327" w:rsidRDefault="004509BA" w:rsidP="004509BA">
      <w:pPr>
        <w:ind w:left="360"/>
        <w:jc w:val="both"/>
        <w:rPr>
          <w:b/>
          <w:bCs/>
          <w:lang w:eastAsia="en-US"/>
        </w:rPr>
      </w:pPr>
    </w:p>
    <w:p w14:paraId="348A4877" w14:textId="77777777" w:rsidR="00481A23" w:rsidRDefault="00937B36" w:rsidP="00481A23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Käesolev Viimsi valla </w:t>
      </w:r>
      <w:r w:rsidR="00E20B8B">
        <w:rPr>
          <w:szCs w:val="20"/>
          <w:lang w:eastAsia="en-US"/>
        </w:rPr>
        <w:t>tänavavalgustuse</w:t>
      </w:r>
      <w:r>
        <w:rPr>
          <w:bCs/>
          <w:lang w:eastAsia="en-US"/>
        </w:rPr>
        <w:t xml:space="preserve"> arengukava</w:t>
      </w:r>
      <w:r w:rsidR="00F63CB2">
        <w:rPr>
          <w:bCs/>
          <w:lang w:eastAsia="en-US"/>
        </w:rPr>
        <w:t xml:space="preserve"> 201</w:t>
      </w:r>
      <w:r w:rsidR="00E20B8B">
        <w:rPr>
          <w:bCs/>
          <w:lang w:eastAsia="en-US"/>
        </w:rPr>
        <w:t>9-2029, edaspidi ka lühendina TV</w:t>
      </w:r>
      <w:r w:rsidR="00C807C2">
        <w:rPr>
          <w:bCs/>
          <w:lang w:eastAsia="en-US"/>
        </w:rPr>
        <w:t xml:space="preserve">AK, on Viimsi valla </w:t>
      </w:r>
      <w:r w:rsidR="00E20B8B">
        <w:rPr>
          <w:bCs/>
          <w:lang w:eastAsia="en-US"/>
        </w:rPr>
        <w:t>tänavavalgustuse valdkonna</w:t>
      </w:r>
      <w:r w:rsidR="004931F5">
        <w:rPr>
          <w:bCs/>
          <w:lang w:eastAsia="en-US"/>
        </w:rPr>
        <w:t xml:space="preserve"> </w:t>
      </w:r>
      <w:r w:rsidR="00C807C2">
        <w:rPr>
          <w:bCs/>
          <w:lang w:eastAsia="en-US"/>
        </w:rPr>
        <w:t>arengu alusdokumendiks, andes meetmed valdkonna jätkusuutlikuks arenguks.</w:t>
      </w:r>
    </w:p>
    <w:p w14:paraId="380AD619" w14:textId="77777777" w:rsidR="004509BA" w:rsidRPr="001A7327" w:rsidRDefault="004509BA" w:rsidP="00481A23">
      <w:pPr>
        <w:jc w:val="both"/>
        <w:rPr>
          <w:bCs/>
          <w:lang w:eastAsia="en-US"/>
        </w:rPr>
      </w:pPr>
    </w:p>
    <w:p w14:paraId="12C440E5" w14:textId="77777777" w:rsidR="004509BA" w:rsidRDefault="00481A23" w:rsidP="00481A23">
      <w:pPr>
        <w:jc w:val="both"/>
        <w:rPr>
          <w:noProof/>
          <w:lang w:eastAsia="en-US"/>
        </w:rPr>
      </w:pPr>
      <w:r w:rsidRPr="001A7327">
        <w:rPr>
          <w:noProof/>
          <w:lang w:eastAsia="en-US"/>
        </w:rPr>
        <w:t xml:space="preserve">Käesoleva eelnõuga </w:t>
      </w:r>
      <w:r w:rsidR="005C4700">
        <w:rPr>
          <w:noProof/>
          <w:lang w:eastAsia="en-US"/>
        </w:rPr>
        <w:t>tehakse ettepanek</w:t>
      </w:r>
      <w:r w:rsidR="000B5D02">
        <w:rPr>
          <w:noProof/>
          <w:lang w:eastAsia="en-US"/>
        </w:rPr>
        <w:t xml:space="preserve"> </w:t>
      </w:r>
      <w:r w:rsidR="00FC588B">
        <w:rPr>
          <w:noProof/>
          <w:lang w:eastAsia="en-US"/>
        </w:rPr>
        <w:t>võtta vastu</w:t>
      </w:r>
      <w:r w:rsidRPr="001A7327">
        <w:rPr>
          <w:noProof/>
          <w:lang w:eastAsia="en-US"/>
        </w:rPr>
        <w:t xml:space="preserve"> Viimsi </w:t>
      </w:r>
      <w:r w:rsidR="00E20B8B">
        <w:rPr>
          <w:noProof/>
          <w:lang w:eastAsia="en-US"/>
        </w:rPr>
        <w:t>tänavavalgustuse arengukava aastateks 2019-2029</w:t>
      </w:r>
      <w:r w:rsidR="005C4700">
        <w:rPr>
          <w:noProof/>
          <w:lang w:eastAsia="en-US"/>
        </w:rPr>
        <w:t xml:space="preserve">. </w:t>
      </w:r>
      <w:r w:rsidRPr="001A7327">
        <w:rPr>
          <w:noProof/>
          <w:lang w:eastAsia="en-US"/>
        </w:rPr>
        <w:t xml:space="preserve">Käesoleva arengukavaga antakse ülevaade Viimsi </w:t>
      </w:r>
      <w:r w:rsidR="00E20B8B">
        <w:rPr>
          <w:noProof/>
          <w:lang w:eastAsia="en-US"/>
        </w:rPr>
        <w:t>tänavavalgustuse</w:t>
      </w:r>
      <w:r w:rsidR="004931F5">
        <w:rPr>
          <w:noProof/>
          <w:lang w:eastAsia="en-US"/>
        </w:rPr>
        <w:t xml:space="preserve"> hetkeseisust, senisest</w:t>
      </w:r>
      <w:r w:rsidR="00F63CB2">
        <w:rPr>
          <w:noProof/>
          <w:lang w:eastAsia="en-US"/>
        </w:rPr>
        <w:t xml:space="preserve"> </w:t>
      </w:r>
      <w:r w:rsidR="004931F5">
        <w:rPr>
          <w:noProof/>
          <w:lang w:eastAsia="en-US"/>
        </w:rPr>
        <w:t xml:space="preserve">valdkondliku töö </w:t>
      </w:r>
      <w:r w:rsidR="00F63CB2">
        <w:rPr>
          <w:noProof/>
          <w:lang w:eastAsia="en-US"/>
        </w:rPr>
        <w:t>korraldamisest</w:t>
      </w:r>
      <w:r w:rsidR="005C4700">
        <w:rPr>
          <w:noProof/>
          <w:lang w:eastAsia="en-US"/>
        </w:rPr>
        <w:t xml:space="preserve"> ja arengu eeldustest ning võimalustest</w:t>
      </w:r>
      <w:r w:rsidR="00F63CB2">
        <w:rPr>
          <w:noProof/>
          <w:lang w:eastAsia="en-US"/>
        </w:rPr>
        <w:t>, tagamaks kogu vallas terviklik ja tasak</w:t>
      </w:r>
      <w:r w:rsidR="004931F5">
        <w:rPr>
          <w:noProof/>
          <w:lang w:eastAsia="en-US"/>
        </w:rPr>
        <w:t xml:space="preserve">aalustatud </w:t>
      </w:r>
      <w:r w:rsidR="00E20B8B">
        <w:rPr>
          <w:noProof/>
          <w:lang w:eastAsia="en-US"/>
        </w:rPr>
        <w:t>teevalgustuse valdkonna</w:t>
      </w:r>
      <w:r w:rsidR="004931F5">
        <w:rPr>
          <w:noProof/>
          <w:lang w:eastAsia="en-US"/>
        </w:rPr>
        <w:t xml:space="preserve"> areng.</w:t>
      </w:r>
    </w:p>
    <w:p w14:paraId="0DFA536E" w14:textId="77777777" w:rsidR="002611BA" w:rsidRDefault="002611BA" w:rsidP="0063011A">
      <w:pPr>
        <w:jc w:val="both"/>
        <w:rPr>
          <w:noProof/>
          <w:lang w:eastAsia="en-US"/>
        </w:rPr>
      </w:pPr>
    </w:p>
    <w:p w14:paraId="575F6C51" w14:textId="77777777" w:rsidR="002611BA" w:rsidRPr="002611BA" w:rsidRDefault="002611BA" w:rsidP="006301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611BA">
        <w:rPr>
          <w:rFonts w:eastAsiaTheme="minorHAnsi"/>
          <w:lang w:eastAsia="en-US"/>
        </w:rPr>
        <w:t>Antud arengukava</w:t>
      </w:r>
      <w:r w:rsidR="00C807C2">
        <w:rPr>
          <w:rFonts w:eastAsiaTheme="minorHAnsi"/>
          <w:lang w:eastAsia="en-US"/>
        </w:rPr>
        <w:t xml:space="preserve"> on koostatud </w:t>
      </w:r>
      <w:r w:rsidR="00E20B8B">
        <w:rPr>
          <w:rFonts w:eastAsiaTheme="minorHAnsi"/>
          <w:lang w:eastAsia="en-US"/>
        </w:rPr>
        <w:t>AS KH Energia-Konsult ning vallavalitsuse ehitus- ja kommunaalosakonna töögrupi poolt.</w:t>
      </w:r>
    </w:p>
    <w:p w14:paraId="02CB329A" w14:textId="77777777" w:rsidR="00481A23" w:rsidRPr="002611BA" w:rsidRDefault="002611BA" w:rsidP="00481A23">
      <w:pPr>
        <w:jc w:val="both"/>
        <w:rPr>
          <w:noProof/>
          <w:color w:val="FF0000"/>
          <w:lang w:eastAsia="en-US"/>
        </w:rPr>
      </w:pPr>
      <w:r>
        <w:rPr>
          <w:noProof/>
          <w:color w:val="FF0000"/>
          <w:lang w:eastAsia="en-US"/>
        </w:rPr>
        <w:t xml:space="preserve"> </w:t>
      </w:r>
      <w:r w:rsidR="00481A23" w:rsidRPr="001A7327">
        <w:rPr>
          <w:noProof/>
          <w:lang w:eastAsia="en-US"/>
        </w:rPr>
        <w:t xml:space="preserve">   </w:t>
      </w:r>
    </w:p>
    <w:p w14:paraId="4860E2E3" w14:textId="77777777" w:rsidR="00481A23" w:rsidRDefault="00481A23" w:rsidP="00481A23">
      <w:pPr>
        <w:numPr>
          <w:ilvl w:val="0"/>
          <w:numId w:val="1"/>
        </w:numPr>
        <w:jc w:val="both"/>
        <w:rPr>
          <w:b/>
          <w:bCs/>
          <w:lang w:eastAsia="en-US"/>
        </w:rPr>
      </w:pPr>
      <w:r w:rsidRPr="001A7327">
        <w:rPr>
          <w:b/>
          <w:bCs/>
          <w:lang w:eastAsia="en-US"/>
        </w:rPr>
        <w:t>Eesmärk</w:t>
      </w:r>
    </w:p>
    <w:p w14:paraId="47ECE6FF" w14:textId="77777777" w:rsidR="00593C63" w:rsidRDefault="00593C63" w:rsidP="00593C63">
      <w:pPr>
        <w:ind w:left="360"/>
        <w:jc w:val="both"/>
        <w:rPr>
          <w:b/>
          <w:bCs/>
          <w:lang w:eastAsia="en-US"/>
        </w:rPr>
      </w:pPr>
    </w:p>
    <w:p w14:paraId="6666AEE2" w14:textId="77777777" w:rsidR="00E20B8B" w:rsidRPr="008E2116" w:rsidRDefault="00E20B8B" w:rsidP="00E20B8B">
      <w:pPr>
        <w:jc w:val="both"/>
      </w:pPr>
      <w:r>
        <w:t>TVAK</w:t>
      </w:r>
      <w:r w:rsidR="009764B1">
        <w:t xml:space="preserve"> on Viimsi valla </w:t>
      </w:r>
      <w:r>
        <w:t xml:space="preserve">teevalgustuse </w:t>
      </w:r>
      <w:r w:rsidRPr="00623975">
        <w:t>valdkonna arengu alusdokument, mis annab meetmed valla tasakaalustatud arenguks, arvestades tänavavalgustuse kõiki aspekte – tänavavalgustussüsteemide toimimise tagamist, tänavavalgustussüsteemide moderniseerimist, tänavavalgustussüsteemide võrgustiku laiendamist, energiasäästu ja valgusreostuse vältimist.</w:t>
      </w:r>
      <w:r w:rsidR="004931F5">
        <w:t xml:space="preserve"> </w:t>
      </w:r>
      <w:r w:rsidRPr="00623975">
        <w:t>TVAK sõnastab valdkonna põhilised eesmärgid, TVAK koosseisus on tegevuskava 5-aastase perioodi kohta ning on esitatud strateegilised suunad ja strateegia tänavavalgustuse valdkonna korraldamiseks ja arengukavas nimetatud eesmärkide saavutamiseks</w:t>
      </w:r>
      <w:r>
        <w:t xml:space="preserve">. </w:t>
      </w:r>
      <w:r w:rsidRPr="00623975">
        <w:t xml:space="preserve">TVAK koostamise eesmärk on luua terviklik Viimsi valla tänavavalgustussüsteemide ja -valdkonna käsitlus ja sellest lähtuvalt välja töötada põhimõtted ning keskkonda sobivad lahendused ja erinevate haldusalade, omanike ning arendajate vastutus ning määratleda ära perspektiivne </w:t>
      </w:r>
      <w:r w:rsidRPr="008E2116">
        <w:t>tänavavalgustuskorralduslik tegevus ja vastutus.</w:t>
      </w:r>
    </w:p>
    <w:p w14:paraId="0C5003AC" w14:textId="77777777" w:rsidR="009764B1" w:rsidRDefault="009764B1" w:rsidP="009764B1">
      <w:pPr>
        <w:autoSpaceDE w:val="0"/>
        <w:autoSpaceDN w:val="0"/>
        <w:jc w:val="both"/>
      </w:pPr>
    </w:p>
    <w:p w14:paraId="74A9A2B7" w14:textId="77777777" w:rsidR="00481A23" w:rsidRPr="001A7327" w:rsidRDefault="00593C63" w:rsidP="00481A23">
      <w:pPr>
        <w:jc w:val="both"/>
        <w:rPr>
          <w:noProof/>
          <w:lang w:eastAsia="en-US"/>
        </w:rPr>
      </w:pPr>
      <w:r>
        <w:rPr>
          <w:noProof/>
          <w:lang w:eastAsia="en-US"/>
        </w:rPr>
        <w:t xml:space="preserve"> </w:t>
      </w:r>
    </w:p>
    <w:p w14:paraId="2AD44064" w14:textId="77777777" w:rsidR="00481A23" w:rsidRPr="001A7327" w:rsidRDefault="00481A23" w:rsidP="00481A23">
      <w:pPr>
        <w:numPr>
          <w:ilvl w:val="0"/>
          <w:numId w:val="1"/>
        </w:numPr>
        <w:jc w:val="both"/>
        <w:rPr>
          <w:b/>
          <w:bCs/>
          <w:lang w:eastAsia="en-US"/>
        </w:rPr>
      </w:pPr>
      <w:r w:rsidRPr="001A7327">
        <w:rPr>
          <w:b/>
          <w:bCs/>
          <w:lang w:eastAsia="en-US"/>
        </w:rPr>
        <w:t>Eelnõu sisu ja võrdlev analüüs</w:t>
      </w:r>
    </w:p>
    <w:p w14:paraId="2BB70430" w14:textId="77777777" w:rsidR="00343525" w:rsidRDefault="00343525" w:rsidP="00481A23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14:paraId="27286055" w14:textId="77777777" w:rsidR="004509BA" w:rsidRPr="009764B1" w:rsidRDefault="009764B1" w:rsidP="009764B1">
      <w:pPr>
        <w:autoSpaceDE w:val="0"/>
        <w:autoSpaceDN w:val="0"/>
        <w:jc w:val="both"/>
      </w:pPr>
      <w:r>
        <w:t xml:space="preserve">Arengukavas kirjeldatakse põhjalikult olemasolevat olukorda </w:t>
      </w:r>
      <w:r w:rsidR="00E20B8B">
        <w:t>tänavavalgustuse valdkonna osas ja selle korraldamisel</w:t>
      </w:r>
      <w:r>
        <w:t xml:space="preserve">. </w:t>
      </w:r>
      <w:r w:rsidR="00E20B8B">
        <w:t>TVAK</w:t>
      </w:r>
      <w:r w:rsidR="001801E1">
        <w:t xml:space="preserve">-is </w:t>
      </w:r>
      <w:r>
        <w:t xml:space="preserve">esitatakse perspektiivsed lahendused ja maksumused ning koostatakse perspektiivsete lahenduste </w:t>
      </w:r>
      <w:r w:rsidR="00E20B8B">
        <w:t>ettepanekud,</w:t>
      </w:r>
      <w:r>
        <w:t xml:space="preserve"> soovitatud </w:t>
      </w:r>
      <w:r w:rsidR="001801E1">
        <w:t>valdkonna</w:t>
      </w:r>
      <w:r>
        <w:t xml:space="preserve"> edasise arendamise suunad ja tegevuskava nende elluviimiseks. </w:t>
      </w:r>
      <w:r w:rsidR="00343525" w:rsidRPr="00660A6B">
        <w:rPr>
          <w:rFonts w:eastAsiaTheme="minorHAnsi"/>
          <w:lang w:eastAsia="en-US"/>
        </w:rPr>
        <w:t xml:space="preserve"> </w:t>
      </w:r>
      <w:r w:rsidR="00660A6B" w:rsidRPr="00660A6B">
        <w:rPr>
          <w:rFonts w:eastAsiaTheme="minorHAnsi"/>
          <w:lang w:eastAsia="en-US"/>
        </w:rPr>
        <w:t xml:space="preserve"> </w:t>
      </w:r>
    </w:p>
    <w:p w14:paraId="53046DE0" w14:textId="77777777" w:rsidR="0063011A" w:rsidRPr="001A7327" w:rsidRDefault="00343525" w:rsidP="004509BA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14:paraId="6BF811C6" w14:textId="77777777" w:rsidR="00481A23" w:rsidRPr="001A7327" w:rsidRDefault="00481A23" w:rsidP="00481A23">
      <w:pPr>
        <w:numPr>
          <w:ilvl w:val="0"/>
          <w:numId w:val="1"/>
        </w:numPr>
        <w:jc w:val="both"/>
        <w:rPr>
          <w:b/>
          <w:bCs/>
          <w:lang w:eastAsia="en-US"/>
        </w:rPr>
      </w:pPr>
      <w:r w:rsidRPr="001A7327">
        <w:rPr>
          <w:b/>
          <w:bCs/>
          <w:lang w:eastAsia="en-US"/>
        </w:rPr>
        <w:t>Määruse mõjud</w:t>
      </w:r>
    </w:p>
    <w:p w14:paraId="26CECC3F" w14:textId="77777777" w:rsidR="00481A23" w:rsidRPr="001A7327" w:rsidRDefault="00481A23" w:rsidP="00481A23">
      <w:pPr>
        <w:jc w:val="both"/>
        <w:rPr>
          <w:noProof/>
          <w:lang w:eastAsia="en-US"/>
        </w:rPr>
      </w:pPr>
    </w:p>
    <w:p w14:paraId="667E5557" w14:textId="77777777" w:rsidR="009764B1" w:rsidRDefault="009764B1" w:rsidP="009764B1">
      <w:pPr>
        <w:autoSpaceDE w:val="0"/>
        <w:autoSpaceDN w:val="0"/>
        <w:jc w:val="both"/>
      </w:pPr>
      <w:r>
        <w:t xml:space="preserve">Arengukava mõjutab kogu </w:t>
      </w:r>
      <w:r w:rsidR="00E20B8B">
        <w:t>teevalgustuse valdkonna</w:t>
      </w:r>
      <w:r>
        <w:t xml:space="preserve"> arengut Viimsi vallas ning mõjutab siinset </w:t>
      </w:r>
      <w:r w:rsidR="00E20B8B">
        <w:t>elu</w:t>
      </w:r>
      <w:r>
        <w:t>keskkonda.</w:t>
      </w:r>
      <w:r w:rsidR="00E20B8B">
        <w:t xml:space="preserve"> Teevalgustus on oluline, tagamaks liiklusohutus ning luues turvalisust.</w:t>
      </w:r>
      <w:r>
        <w:t xml:space="preserve"> Arengukava realiseerimisega paraneb valla </w:t>
      </w:r>
      <w:r w:rsidR="001801E1">
        <w:t xml:space="preserve">elukeskkond ja avalik ruum. </w:t>
      </w:r>
      <w:r w:rsidR="00E20B8B">
        <w:t>TAVK</w:t>
      </w:r>
      <w:r w:rsidR="001801E1">
        <w:t xml:space="preserve"> eesmärk on </w:t>
      </w:r>
      <w:r w:rsidR="001801E1">
        <w:lastRenderedPageBreak/>
        <w:t xml:space="preserve">pakkuda parimat võimalikku </w:t>
      </w:r>
      <w:r w:rsidR="00E20B8B">
        <w:t>ohutu ja turvalise avaliku ruumi ja teede teenust valla elanikele, esitades selge tegevuskava teede valgustamisel ja tegevuste elluviimisel.</w:t>
      </w:r>
    </w:p>
    <w:p w14:paraId="179CDD40" w14:textId="77777777" w:rsidR="00481A23" w:rsidRPr="001A7327" w:rsidRDefault="00481A23" w:rsidP="00481A23">
      <w:pPr>
        <w:jc w:val="both"/>
        <w:rPr>
          <w:noProof/>
          <w:lang w:eastAsia="en-US"/>
        </w:rPr>
      </w:pPr>
    </w:p>
    <w:p w14:paraId="77E09047" w14:textId="77777777" w:rsidR="00481A23" w:rsidRPr="001A7327" w:rsidRDefault="00481A23" w:rsidP="00481A23">
      <w:pPr>
        <w:numPr>
          <w:ilvl w:val="0"/>
          <w:numId w:val="1"/>
        </w:numPr>
        <w:jc w:val="both"/>
        <w:rPr>
          <w:b/>
          <w:bCs/>
          <w:lang w:eastAsia="en-US"/>
        </w:rPr>
      </w:pPr>
      <w:r w:rsidRPr="001A7327">
        <w:rPr>
          <w:b/>
          <w:bCs/>
          <w:lang w:eastAsia="en-US"/>
        </w:rPr>
        <w:t>Määruse rakendamiseks vajalikud kulutused ja määruse rakendamise eeldatavad tulud</w:t>
      </w:r>
    </w:p>
    <w:p w14:paraId="7D0BDE30" w14:textId="77777777" w:rsidR="00481A23" w:rsidRPr="001A7327" w:rsidRDefault="00481A23" w:rsidP="00481A23">
      <w:pPr>
        <w:jc w:val="both"/>
        <w:rPr>
          <w:bCs/>
          <w:lang w:eastAsia="en-US"/>
        </w:rPr>
      </w:pPr>
    </w:p>
    <w:p w14:paraId="4B57D4F1" w14:textId="77777777" w:rsidR="009764B1" w:rsidRDefault="00B4419F" w:rsidP="009764B1">
      <w:pPr>
        <w:jc w:val="both"/>
      </w:pPr>
      <w:r>
        <w:rPr>
          <w:lang w:eastAsia="en-US"/>
        </w:rPr>
        <w:t xml:space="preserve">Määruse rakendamine eeldab </w:t>
      </w:r>
      <w:r w:rsidR="00E20B8B">
        <w:rPr>
          <w:lang w:eastAsia="en-US"/>
        </w:rPr>
        <w:t>teevalgustuse</w:t>
      </w:r>
      <w:r w:rsidR="001801E1">
        <w:rPr>
          <w:lang w:eastAsia="en-US"/>
        </w:rPr>
        <w:t xml:space="preserve"> </w:t>
      </w:r>
      <w:r w:rsidR="009764B1">
        <w:rPr>
          <w:lang w:eastAsia="en-US"/>
        </w:rPr>
        <w:t xml:space="preserve">rahastust </w:t>
      </w:r>
      <w:r w:rsidR="001801E1">
        <w:rPr>
          <w:lang w:eastAsia="en-US"/>
        </w:rPr>
        <w:t xml:space="preserve">vähemalt </w:t>
      </w:r>
      <w:r w:rsidR="00E11B89">
        <w:rPr>
          <w:lang w:eastAsia="en-US"/>
        </w:rPr>
        <w:t>käesoleva eelarveaasta tasemel</w:t>
      </w:r>
      <w:r w:rsidR="00E20B8B">
        <w:rPr>
          <w:lang w:eastAsia="en-US"/>
        </w:rPr>
        <w:t xml:space="preserve"> (2019 aastal 980 000 eurot, lisaks EL toetused)</w:t>
      </w:r>
      <w:r w:rsidR="001801E1">
        <w:rPr>
          <w:lang w:eastAsia="en-US"/>
        </w:rPr>
        <w:t>, kavandatud on sisse stabiilne suurenemine</w:t>
      </w:r>
      <w:r w:rsidR="000C784D">
        <w:rPr>
          <w:lang w:eastAsia="en-US"/>
        </w:rPr>
        <w:t xml:space="preserve"> (seoses taristu suurenemisega)</w:t>
      </w:r>
      <w:r w:rsidR="001801E1">
        <w:rPr>
          <w:lang w:eastAsia="en-US"/>
        </w:rPr>
        <w:t xml:space="preserve"> ning </w:t>
      </w:r>
      <w:r w:rsidR="000C784D">
        <w:rPr>
          <w:lang w:eastAsia="en-US"/>
        </w:rPr>
        <w:t xml:space="preserve">samuti on ette nähtud säästlike valgustite kasutamine. </w:t>
      </w:r>
      <w:r w:rsidR="001801E1">
        <w:rPr>
          <w:lang w:eastAsia="en-US"/>
        </w:rPr>
        <w:t>Arengukava eelarves toodud tegevused on ülevaade valdkonnapõhistest kuludest, mis võivad jaotuda omakorda juba erinevate tegevussuundade eelarvetesse.</w:t>
      </w:r>
      <w:r w:rsidR="000A7BCA">
        <w:rPr>
          <w:lang w:eastAsia="en-US"/>
        </w:rPr>
        <w:t xml:space="preserve"> Võimalik on saada lisarahas</w:t>
      </w:r>
      <w:r w:rsidR="0063011A">
        <w:rPr>
          <w:lang w:eastAsia="en-US"/>
        </w:rPr>
        <w:t>tust fondide</w:t>
      </w:r>
      <w:r>
        <w:rPr>
          <w:lang w:eastAsia="en-US"/>
        </w:rPr>
        <w:t xml:space="preserve"> ja projektide abiga</w:t>
      </w:r>
      <w:r w:rsidR="000C784D">
        <w:rPr>
          <w:lang w:eastAsia="en-US"/>
        </w:rPr>
        <w:t xml:space="preserve"> (LED projektid)</w:t>
      </w:r>
      <w:r w:rsidR="00E11B89">
        <w:rPr>
          <w:lang w:eastAsia="en-US"/>
        </w:rPr>
        <w:t xml:space="preserve"> ja ajatada teatud tegevusi</w:t>
      </w:r>
      <w:r>
        <w:rPr>
          <w:lang w:eastAsia="en-US"/>
        </w:rPr>
        <w:t xml:space="preserve">. </w:t>
      </w:r>
      <w:r w:rsidR="009764B1">
        <w:t xml:space="preserve">Arengukava eeldab </w:t>
      </w:r>
      <w:r w:rsidR="000C784D">
        <w:t>teevalgustuse valdkonna</w:t>
      </w:r>
      <w:r w:rsidR="001801E1">
        <w:t xml:space="preserve"> korral</w:t>
      </w:r>
      <w:r w:rsidR="009764B1">
        <w:t>damisel edaspidi senisest süs</w:t>
      </w:r>
      <w:r w:rsidR="001801E1">
        <w:t>teemsema tegevuse sisseseadmist.</w:t>
      </w:r>
    </w:p>
    <w:p w14:paraId="039104FC" w14:textId="77777777" w:rsidR="00481A23" w:rsidRPr="001A7327" w:rsidRDefault="00481A23" w:rsidP="00481A23">
      <w:pPr>
        <w:jc w:val="both"/>
        <w:rPr>
          <w:lang w:eastAsia="en-US"/>
        </w:rPr>
      </w:pPr>
    </w:p>
    <w:p w14:paraId="6D78EC72" w14:textId="77777777" w:rsidR="00481A23" w:rsidRPr="001A7327" w:rsidRDefault="00481A23" w:rsidP="00481A23">
      <w:pPr>
        <w:numPr>
          <w:ilvl w:val="0"/>
          <w:numId w:val="1"/>
        </w:numPr>
        <w:jc w:val="both"/>
        <w:rPr>
          <w:b/>
          <w:bCs/>
          <w:lang w:eastAsia="en-US"/>
        </w:rPr>
      </w:pPr>
      <w:r w:rsidRPr="001A7327">
        <w:rPr>
          <w:b/>
          <w:bCs/>
          <w:lang w:eastAsia="en-US"/>
        </w:rPr>
        <w:t>Eelnõu kooskõlastamine</w:t>
      </w:r>
    </w:p>
    <w:p w14:paraId="5313B465" w14:textId="77777777" w:rsidR="00481A23" w:rsidRPr="001A7327" w:rsidRDefault="00481A23" w:rsidP="00481A23">
      <w:pPr>
        <w:jc w:val="both"/>
        <w:rPr>
          <w:lang w:eastAsia="en-US"/>
        </w:rPr>
      </w:pPr>
    </w:p>
    <w:p w14:paraId="35FC5E95" w14:textId="77777777" w:rsidR="00481A23" w:rsidRPr="00FC588B" w:rsidRDefault="00FC588B" w:rsidP="00FC588B">
      <w:pPr>
        <w:jc w:val="both"/>
        <w:rPr>
          <w:b/>
          <w:bCs/>
          <w:lang w:eastAsia="en-US"/>
        </w:rPr>
      </w:pPr>
      <w:r>
        <w:rPr>
          <w:lang w:eastAsia="en-US"/>
        </w:rPr>
        <w:t>Arengukava</w:t>
      </w:r>
      <w:r w:rsidR="00481A23" w:rsidRPr="00FC588B">
        <w:rPr>
          <w:lang w:eastAsia="en-US"/>
        </w:rPr>
        <w:t xml:space="preserve"> eelnõu on </w:t>
      </w:r>
      <w:r w:rsidR="00E11B89">
        <w:rPr>
          <w:lang w:eastAsia="en-US"/>
        </w:rPr>
        <w:t xml:space="preserve">esitatud kooskõlastamiseks </w:t>
      </w:r>
      <w:r w:rsidR="00481A23" w:rsidRPr="00FC588B">
        <w:rPr>
          <w:lang w:eastAsia="en-US"/>
        </w:rPr>
        <w:t xml:space="preserve">Viimsi Vallavolikogu </w:t>
      </w:r>
      <w:r w:rsidR="00B80EDF">
        <w:rPr>
          <w:lang w:eastAsia="en-US"/>
        </w:rPr>
        <w:t xml:space="preserve">komisjonidele </w:t>
      </w:r>
      <w:r w:rsidR="008443C1" w:rsidRPr="00FC588B">
        <w:rPr>
          <w:lang w:eastAsia="en-US"/>
        </w:rPr>
        <w:t>ning</w:t>
      </w:r>
      <w:r w:rsidR="004509BA" w:rsidRPr="00FC588B">
        <w:rPr>
          <w:lang w:eastAsia="en-US"/>
        </w:rPr>
        <w:t xml:space="preserve"> </w:t>
      </w:r>
      <w:r w:rsidR="00B80EDF">
        <w:rPr>
          <w:lang w:eastAsia="en-US"/>
        </w:rPr>
        <w:t xml:space="preserve">kooskõlastatud </w:t>
      </w:r>
      <w:r w:rsidR="004509BA" w:rsidRPr="00FC588B">
        <w:rPr>
          <w:lang w:eastAsia="en-US"/>
        </w:rPr>
        <w:t>Viimsi Vallavalit</w:t>
      </w:r>
      <w:r w:rsidR="0063011A" w:rsidRPr="00FC588B">
        <w:rPr>
          <w:lang w:eastAsia="en-US"/>
        </w:rPr>
        <w:t>su</w:t>
      </w:r>
      <w:r w:rsidR="004509BA" w:rsidRPr="00FC588B">
        <w:rPr>
          <w:lang w:eastAsia="en-US"/>
        </w:rPr>
        <w:t xml:space="preserve">se </w:t>
      </w:r>
      <w:r w:rsidR="000C784D">
        <w:rPr>
          <w:lang w:eastAsia="en-US"/>
        </w:rPr>
        <w:t>11.06.2019</w:t>
      </w:r>
      <w:r w:rsidR="00481A23" w:rsidRPr="00FC588B">
        <w:rPr>
          <w:lang w:eastAsia="en-US"/>
        </w:rPr>
        <w:t xml:space="preserve"> istungil.</w:t>
      </w:r>
      <w:r w:rsidR="00B80EDF">
        <w:rPr>
          <w:lang w:eastAsia="en-US"/>
        </w:rPr>
        <w:t xml:space="preserve"> Arengukava eelnõu on kavas panna avalikule väljapanekule </w:t>
      </w:r>
      <w:r w:rsidR="000C784D">
        <w:rPr>
          <w:lang w:eastAsia="en-US"/>
        </w:rPr>
        <w:t xml:space="preserve">ettepanekute esitamiseks </w:t>
      </w:r>
      <w:r w:rsidR="00B80EDF">
        <w:rPr>
          <w:lang w:eastAsia="en-US"/>
        </w:rPr>
        <w:t xml:space="preserve">peale I lugemist </w:t>
      </w:r>
      <w:r w:rsidR="000C784D">
        <w:rPr>
          <w:lang w:eastAsia="en-US"/>
        </w:rPr>
        <w:t>juun</w:t>
      </w:r>
      <w:r w:rsidR="001801E1">
        <w:rPr>
          <w:lang w:eastAsia="en-US"/>
        </w:rPr>
        <w:t>ikuu</w:t>
      </w:r>
      <w:r w:rsidR="00B80EDF">
        <w:rPr>
          <w:lang w:eastAsia="en-US"/>
        </w:rPr>
        <w:t xml:space="preserve"> </w:t>
      </w:r>
      <w:r w:rsidR="000C784D">
        <w:rPr>
          <w:lang w:eastAsia="en-US"/>
        </w:rPr>
        <w:t>volikogu istungil ning seejärel</w:t>
      </w:r>
      <w:r w:rsidR="00B80EDF">
        <w:rPr>
          <w:lang w:eastAsia="en-US"/>
        </w:rPr>
        <w:t xml:space="preserve"> </w:t>
      </w:r>
      <w:r w:rsidR="004F6E95">
        <w:rPr>
          <w:lang w:eastAsia="en-US"/>
        </w:rPr>
        <w:t>suunata II lugemisele nii vallavalitsusse (koos esitatud ettepanekute läbivaatamisega) kui ka volikokku.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481A23" w:rsidRPr="001A7327" w14:paraId="0691FE80" w14:textId="77777777" w:rsidTr="007C2716">
        <w:trPr>
          <w:cantSplit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14:paraId="2DC55671" w14:textId="77777777" w:rsidR="00481A23" w:rsidRPr="001A7327" w:rsidRDefault="00481A23" w:rsidP="007C2716">
            <w:pPr>
              <w:tabs>
                <w:tab w:val="left" w:pos="6521"/>
              </w:tabs>
              <w:jc w:val="both"/>
              <w:rPr>
                <w:lang w:eastAsia="en-US"/>
              </w:rPr>
            </w:pPr>
          </w:p>
        </w:tc>
      </w:tr>
      <w:tr w:rsidR="00481A23" w:rsidRPr="001A7327" w14:paraId="26DFF623" w14:textId="77777777" w:rsidTr="007C2716">
        <w:trPr>
          <w:cantSplit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14:paraId="29DD38FC" w14:textId="77777777" w:rsidR="00481A23" w:rsidRPr="001A7327" w:rsidRDefault="00481A23" w:rsidP="007C2716">
            <w:pPr>
              <w:tabs>
                <w:tab w:val="left" w:pos="6521"/>
              </w:tabs>
              <w:jc w:val="both"/>
              <w:rPr>
                <w:lang w:eastAsia="en-US"/>
              </w:rPr>
            </w:pPr>
          </w:p>
        </w:tc>
      </w:tr>
      <w:tr w:rsidR="00481A23" w:rsidRPr="001A7327" w14:paraId="06737184" w14:textId="77777777" w:rsidTr="007C2716">
        <w:trPr>
          <w:cantSplit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14:paraId="78F26757" w14:textId="77777777" w:rsidR="00481A23" w:rsidRPr="001A7327" w:rsidRDefault="00481A23" w:rsidP="007C2716">
            <w:pPr>
              <w:tabs>
                <w:tab w:val="left" w:pos="6521"/>
              </w:tabs>
              <w:jc w:val="both"/>
              <w:rPr>
                <w:lang w:eastAsia="en-US"/>
              </w:rPr>
            </w:pPr>
          </w:p>
        </w:tc>
      </w:tr>
      <w:tr w:rsidR="00481A23" w:rsidRPr="001A7327" w14:paraId="6111C315" w14:textId="77777777" w:rsidTr="007C2716">
        <w:trPr>
          <w:cantSplit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14:paraId="15D680A4" w14:textId="77777777" w:rsidR="00481A23" w:rsidRPr="001A7327" w:rsidRDefault="00481A23" w:rsidP="007C2716">
            <w:pPr>
              <w:tabs>
                <w:tab w:val="left" w:pos="6521"/>
              </w:tabs>
              <w:jc w:val="both"/>
              <w:rPr>
                <w:lang w:eastAsia="en-US"/>
              </w:rPr>
            </w:pPr>
          </w:p>
        </w:tc>
      </w:tr>
      <w:tr w:rsidR="00481A23" w:rsidRPr="001A7327" w14:paraId="6061E812" w14:textId="77777777" w:rsidTr="007C2716">
        <w:trPr>
          <w:cantSplit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14:paraId="0175DC9E" w14:textId="77777777" w:rsidR="00655E2D" w:rsidRDefault="00E11B89" w:rsidP="007C2716">
            <w:pPr>
              <w:tabs>
                <w:tab w:val="left" w:pos="6521"/>
              </w:tabs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Alar Mik</w:t>
            </w:r>
          </w:p>
          <w:p w14:paraId="219D40AA" w14:textId="77777777" w:rsidR="00E20B8B" w:rsidRDefault="00E20B8B" w:rsidP="00E20B8B">
            <w:r>
              <w:t xml:space="preserve">ehitus- ja kommunaalosakonna juhataja </w:t>
            </w:r>
          </w:p>
          <w:p w14:paraId="28C67421" w14:textId="77777777" w:rsidR="00E11B89" w:rsidRPr="001A7327" w:rsidRDefault="00E11B89" w:rsidP="007C2716">
            <w:pPr>
              <w:tabs>
                <w:tab w:val="left" w:pos="6521"/>
              </w:tabs>
              <w:jc w:val="both"/>
              <w:rPr>
                <w:iCs/>
                <w:lang w:eastAsia="en-US"/>
              </w:rPr>
            </w:pPr>
          </w:p>
        </w:tc>
      </w:tr>
    </w:tbl>
    <w:p w14:paraId="2710E713" w14:textId="77777777" w:rsidR="00481A23" w:rsidRDefault="00481A23"/>
    <w:sectPr w:rsidR="0048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B3787"/>
    <w:multiLevelType w:val="hybridMultilevel"/>
    <w:tmpl w:val="FBD0EB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E350F"/>
    <w:multiLevelType w:val="hybridMultilevel"/>
    <w:tmpl w:val="81924E08"/>
    <w:lvl w:ilvl="0" w:tplc="1674BA3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23"/>
    <w:rsid w:val="000046D8"/>
    <w:rsid w:val="000A7BCA"/>
    <w:rsid w:val="000B5D02"/>
    <w:rsid w:val="000C784D"/>
    <w:rsid w:val="000D4094"/>
    <w:rsid w:val="00124671"/>
    <w:rsid w:val="001801E1"/>
    <w:rsid w:val="001E4C12"/>
    <w:rsid w:val="00234F3B"/>
    <w:rsid w:val="002611BA"/>
    <w:rsid w:val="00287CA9"/>
    <w:rsid w:val="002A1445"/>
    <w:rsid w:val="002C49D5"/>
    <w:rsid w:val="002D3E14"/>
    <w:rsid w:val="00343525"/>
    <w:rsid w:val="00403DF6"/>
    <w:rsid w:val="004509BA"/>
    <w:rsid w:val="00481A23"/>
    <w:rsid w:val="004931F5"/>
    <w:rsid w:val="004F6E95"/>
    <w:rsid w:val="00556BA8"/>
    <w:rsid w:val="00593C63"/>
    <w:rsid w:val="005A5F14"/>
    <w:rsid w:val="005C4700"/>
    <w:rsid w:val="00603C0A"/>
    <w:rsid w:val="0063011A"/>
    <w:rsid w:val="00655E2D"/>
    <w:rsid w:val="00660A6B"/>
    <w:rsid w:val="007D0230"/>
    <w:rsid w:val="00827FD3"/>
    <w:rsid w:val="008443C1"/>
    <w:rsid w:val="009044DF"/>
    <w:rsid w:val="00937B36"/>
    <w:rsid w:val="009764B1"/>
    <w:rsid w:val="00997904"/>
    <w:rsid w:val="009E594D"/>
    <w:rsid w:val="00AB67A0"/>
    <w:rsid w:val="00AE1911"/>
    <w:rsid w:val="00B4419F"/>
    <w:rsid w:val="00B80EDF"/>
    <w:rsid w:val="00C807C2"/>
    <w:rsid w:val="00CC049E"/>
    <w:rsid w:val="00CE2F00"/>
    <w:rsid w:val="00D20F8B"/>
    <w:rsid w:val="00D53241"/>
    <w:rsid w:val="00DE676E"/>
    <w:rsid w:val="00E11B89"/>
    <w:rsid w:val="00E20B8B"/>
    <w:rsid w:val="00EB4DC5"/>
    <w:rsid w:val="00F63CB2"/>
    <w:rsid w:val="00F9194D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8DB1"/>
  <w15:chartTrackingRefBased/>
  <w15:docId w15:val="{F4C13ACA-7EDA-4033-8F8B-D7AF9C08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C1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Bruus</dc:creator>
  <cp:keywords/>
  <dc:description/>
  <cp:lastModifiedBy>Liina Mugu</cp:lastModifiedBy>
  <cp:revision>3</cp:revision>
  <cp:lastPrinted>2016-11-07T09:21:00Z</cp:lastPrinted>
  <dcterms:created xsi:type="dcterms:W3CDTF">2019-06-13T11:13:00Z</dcterms:created>
  <dcterms:modified xsi:type="dcterms:W3CDTF">2019-06-13T13:24:00Z</dcterms:modified>
</cp:coreProperties>
</file>