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5" w:type="dxa"/>
        <w:tblInd w:w="20" w:type="dxa"/>
        <w:tblLayout w:type="fixed"/>
        <w:tblLook w:val="0000" w:firstRow="0" w:lastRow="0" w:firstColumn="0" w:lastColumn="0" w:noHBand="0" w:noVBand="0"/>
      </w:tblPr>
      <w:tblGrid>
        <w:gridCol w:w="4913"/>
        <w:gridCol w:w="1331"/>
        <w:gridCol w:w="3051"/>
      </w:tblGrid>
      <w:tr w:rsidR="00613D33" w:rsidRPr="003640AD" w14:paraId="7B91146D" w14:textId="77777777" w:rsidTr="00377B9E">
        <w:tc>
          <w:tcPr>
            <w:tcW w:w="9295" w:type="dxa"/>
            <w:gridSpan w:val="3"/>
            <w:shd w:val="clear" w:color="auto" w:fill="auto"/>
          </w:tcPr>
          <w:p w14:paraId="274E2292" w14:textId="475E3624" w:rsidR="00613D33" w:rsidRPr="003640AD" w:rsidRDefault="001B6E3A" w:rsidP="001B6E3A">
            <w:pPr>
              <w:pStyle w:val="Pea"/>
              <w:tabs>
                <w:tab w:val="center" w:pos="4539"/>
                <w:tab w:val="left" w:pos="7039"/>
              </w:tabs>
              <w:ind w:left="0"/>
              <w:jc w:val="left"/>
              <w:rPr>
                <w:lang w:val="en-US"/>
              </w:rPr>
            </w:pPr>
            <w:r>
              <w:tab/>
            </w:r>
            <w:r w:rsidR="00613D33" w:rsidRPr="00F71628">
              <w:t>VIIMSI VALLAVOLIKOGU</w:t>
            </w:r>
            <w:r>
              <w:tab/>
              <w:t xml:space="preserve">  </w:t>
            </w:r>
            <w:proofErr w:type="spellStart"/>
            <w:r w:rsidRPr="00BE3E0F">
              <w:rPr>
                <w:b/>
                <w:sz w:val="24"/>
                <w:szCs w:val="24"/>
              </w:rPr>
              <w:t>Pkp</w:t>
            </w:r>
            <w:proofErr w:type="spellEnd"/>
            <w:r w:rsidRPr="00BE3E0F">
              <w:rPr>
                <w:b/>
                <w:sz w:val="24"/>
                <w:szCs w:val="24"/>
              </w:rPr>
              <w:t xml:space="preserve"> 5</w:t>
            </w:r>
          </w:p>
        </w:tc>
      </w:tr>
      <w:tr w:rsidR="00613D33" w:rsidRPr="00F71628" w14:paraId="5A609330" w14:textId="77777777" w:rsidTr="00377B9E">
        <w:tc>
          <w:tcPr>
            <w:tcW w:w="9295" w:type="dxa"/>
            <w:gridSpan w:val="3"/>
            <w:shd w:val="clear" w:color="auto" w:fill="auto"/>
          </w:tcPr>
          <w:p w14:paraId="07C98E31" w14:textId="6A02FF37" w:rsidR="00613D33" w:rsidRPr="00BE3E0F" w:rsidRDefault="001B6E3A" w:rsidP="001B6E3A">
            <w:pPr>
              <w:pStyle w:val="BodyText"/>
              <w:tabs>
                <w:tab w:val="left" w:pos="6521"/>
                <w:tab w:val="left" w:pos="7189"/>
              </w:tabs>
              <w:snapToGrid w:val="0"/>
              <w:jc w:val="left"/>
              <w:rPr>
                <w:b/>
                <w:sz w:val="24"/>
                <w:szCs w:val="24"/>
              </w:rPr>
            </w:pPr>
            <w:r>
              <w:rPr>
                <w:sz w:val="24"/>
                <w:szCs w:val="24"/>
              </w:rPr>
              <w:tab/>
            </w:r>
            <w:r>
              <w:rPr>
                <w:sz w:val="24"/>
                <w:szCs w:val="24"/>
              </w:rPr>
              <w:tab/>
            </w:r>
            <w:r w:rsidRPr="00BE3E0F">
              <w:rPr>
                <w:b/>
                <w:sz w:val="24"/>
                <w:szCs w:val="24"/>
              </w:rPr>
              <w:t>Eelnõu nr 5</w:t>
            </w:r>
          </w:p>
        </w:tc>
      </w:tr>
      <w:tr w:rsidR="00613D33" w:rsidRPr="00F71628" w14:paraId="5E07D52C" w14:textId="77777777" w:rsidTr="00377B9E">
        <w:tc>
          <w:tcPr>
            <w:tcW w:w="9295" w:type="dxa"/>
            <w:gridSpan w:val="3"/>
            <w:shd w:val="clear" w:color="auto" w:fill="auto"/>
          </w:tcPr>
          <w:p w14:paraId="45FB8AC7" w14:textId="71DD29B5" w:rsidR="00613D33" w:rsidRPr="00F71628" w:rsidRDefault="00BE3E0F" w:rsidP="00BE3E0F">
            <w:pPr>
              <w:pStyle w:val="Pea"/>
              <w:tabs>
                <w:tab w:val="center" w:pos="4539"/>
                <w:tab w:val="left" w:pos="7103"/>
                <w:tab w:val="left" w:pos="7286"/>
              </w:tabs>
              <w:ind w:left="0"/>
              <w:jc w:val="left"/>
            </w:pPr>
            <w:r>
              <w:rPr>
                <w:b/>
                <w:bCs/>
              </w:rPr>
              <w:tab/>
            </w:r>
            <w:r w:rsidR="00613D33" w:rsidRPr="00F71628">
              <w:rPr>
                <w:b/>
                <w:bCs/>
              </w:rPr>
              <w:t>OTSUS</w:t>
            </w:r>
            <w:r>
              <w:rPr>
                <w:b/>
                <w:bCs/>
              </w:rPr>
              <w:tab/>
            </w:r>
            <w:r w:rsidRPr="00933710">
              <w:rPr>
                <w:bCs/>
                <w:i/>
              </w:rPr>
              <w:t>lihthäälteenamus</w:t>
            </w:r>
            <w:r>
              <w:rPr>
                <w:b/>
                <w:bCs/>
              </w:rPr>
              <w:tab/>
            </w:r>
          </w:p>
        </w:tc>
      </w:tr>
      <w:tr w:rsidR="00613D33" w:rsidRPr="00E24975" w14:paraId="605D614A" w14:textId="77777777" w:rsidTr="00377B9E">
        <w:tc>
          <w:tcPr>
            <w:tcW w:w="9295" w:type="dxa"/>
            <w:gridSpan w:val="3"/>
            <w:shd w:val="clear" w:color="auto" w:fill="auto"/>
          </w:tcPr>
          <w:p w14:paraId="6D89F3DD" w14:textId="77777777" w:rsidR="00613D33" w:rsidRPr="00E24975" w:rsidRDefault="00613D33" w:rsidP="00377B9E">
            <w:pPr>
              <w:pStyle w:val="Kehatekst1"/>
              <w:tabs>
                <w:tab w:val="left" w:pos="6521"/>
              </w:tabs>
              <w:snapToGrid w:val="0"/>
              <w:rPr>
                <w:rFonts w:ascii="Calibri" w:eastAsia="Calibri" w:hAnsi="Calibri"/>
                <w:sz w:val="20"/>
              </w:rPr>
            </w:pPr>
          </w:p>
        </w:tc>
      </w:tr>
      <w:tr w:rsidR="00613D33" w:rsidRPr="00E24975" w14:paraId="7CF53B02" w14:textId="77777777" w:rsidTr="00377B9E">
        <w:tc>
          <w:tcPr>
            <w:tcW w:w="9295" w:type="dxa"/>
            <w:gridSpan w:val="3"/>
            <w:shd w:val="clear" w:color="auto" w:fill="auto"/>
          </w:tcPr>
          <w:p w14:paraId="0359E2B8" w14:textId="77777777" w:rsidR="00613D33" w:rsidRDefault="00613D33" w:rsidP="00377B9E">
            <w:pPr>
              <w:pStyle w:val="Kehatekst1"/>
              <w:tabs>
                <w:tab w:val="left" w:pos="6521"/>
              </w:tabs>
              <w:snapToGrid w:val="0"/>
              <w:rPr>
                <w:rFonts w:ascii="Calibri" w:eastAsia="Calibri" w:hAnsi="Calibri"/>
                <w:sz w:val="20"/>
              </w:rPr>
            </w:pPr>
          </w:p>
          <w:p w14:paraId="796A4565" w14:textId="2E8A1BD1" w:rsidR="004102F8" w:rsidRPr="00E24975" w:rsidRDefault="004102F8" w:rsidP="00377B9E">
            <w:pPr>
              <w:pStyle w:val="Kehatekst1"/>
              <w:tabs>
                <w:tab w:val="left" w:pos="6521"/>
              </w:tabs>
              <w:snapToGrid w:val="0"/>
              <w:rPr>
                <w:rFonts w:ascii="Calibri" w:eastAsia="Calibri" w:hAnsi="Calibri"/>
                <w:sz w:val="20"/>
              </w:rPr>
            </w:pPr>
          </w:p>
        </w:tc>
      </w:tr>
      <w:tr w:rsidR="00613D33" w:rsidRPr="00E24975" w14:paraId="6F229DFC" w14:textId="77777777" w:rsidTr="00377B9E">
        <w:tc>
          <w:tcPr>
            <w:tcW w:w="6244" w:type="dxa"/>
            <w:gridSpan w:val="2"/>
            <w:shd w:val="clear" w:color="auto" w:fill="auto"/>
          </w:tcPr>
          <w:p w14:paraId="66E5BDBA" w14:textId="77777777" w:rsidR="00613D33" w:rsidRPr="00343C10" w:rsidRDefault="00613D33" w:rsidP="00377B9E">
            <w:pPr>
              <w:pStyle w:val="Kehatekst1"/>
              <w:tabs>
                <w:tab w:val="left" w:pos="6521"/>
              </w:tabs>
              <w:rPr>
                <w:szCs w:val="24"/>
              </w:rPr>
            </w:pPr>
            <w:r w:rsidRPr="00343C10">
              <w:rPr>
                <w:szCs w:val="24"/>
              </w:rPr>
              <w:t>Viimsi vald</w:t>
            </w:r>
          </w:p>
        </w:tc>
        <w:tc>
          <w:tcPr>
            <w:tcW w:w="3051" w:type="dxa"/>
            <w:shd w:val="clear" w:color="auto" w:fill="auto"/>
          </w:tcPr>
          <w:p w14:paraId="16AC681B" w14:textId="626F2D64" w:rsidR="00613D33" w:rsidRPr="00E24975" w:rsidRDefault="00613D33" w:rsidP="00377B9E">
            <w:pPr>
              <w:pStyle w:val="Kehatekst1"/>
              <w:tabs>
                <w:tab w:val="left" w:pos="6521"/>
              </w:tabs>
              <w:rPr>
                <w:rFonts w:ascii="Calibri" w:eastAsia="Calibri" w:hAnsi="Calibri"/>
                <w:sz w:val="20"/>
              </w:rPr>
            </w:pPr>
            <w:r w:rsidRPr="00E24975">
              <w:t xml:space="preserve"> </w:t>
            </w:r>
            <w:r w:rsidR="00E12613">
              <w:t xml:space="preserve">23. </w:t>
            </w:r>
            <w:r>
              <w:t>apri</w:t>
            </w:r>
            <w:bookmarkStart w:id="0" w:name="_GoBack"/>
            <w:bookmarkEnd w:id="0"/>
            <w:r>
              <w:t>ll</w:t>
            </w:r>
            <w:r w:rsidRPr="00E24975">
              <w:t xml:space="preserve"> 2019 nr …</w:t>
            </w:r>
          </w:p>
        </w:tc>
      </w:tr>
      <w:tr w:rsidR="00613D33" w:rsidRPr="00343C10" w14:paraId="779FFF22" w14:textId="77777777" w:rsidTr="00377B9E">
        <w:tc>
          <w:tcPr>
            <w:tcW w:w="9295" w:type="dxa"/>
            <w:gridSpan w:val="3"/>
            <w:shd w:val="clear" w:color="auto" w:fill="auto"/>
          </w:tcPr>
          <w:p w14:paraId="1E13C602" w14:textId="77777777" w:rsidR="00613D33" w:rsidRPr="00343C10" w:rsidRDefault="00613D33" w:rsidP="00377B9E">
            <w:pPr>
              <w:pStyle w:val="Kehatekst1"/>
              <w:snapToGrid w:val="0"/>
              <w:rPr>
                <w:rFonts w:ascii="Calibri" w:eastAsia="Calibri" w:hAnsi="Calibri"/>
                <w:szCs w:val="24"/>
              </w:rPr>
            </w:pPr>
          </w:p>
        </w:tc>
      </w:tr>
      <w:tr w:rsidR="00613D33" w:rsidRPr="00343C10" w14:paraId="572C160C" w14:textId="77777777" w:rsidTr="00377B9E">
        <w:tc>
          <w:tcPr>
            <w:tcW w:w="9295" w:type="dxa"/>
            <w:gridSpan w:val="3"/>
            <w:shd w:val="clear" w:color="auto" w:fill="auto"/>
          </w:tcPr>
          <w:p w14:paraId="500BB556" w14:textId="77777777" w:rsidR="00613D33" w:rsidRPr="00647070" w:rsidRDefault="00613D33" w:rsidP="00377B9E">
            <w:pPr>
              <w:pStyle w:val="Kehatekst1"/>
              <w:tabs>
                <w:tab w:val="left" w:pos="6521"/>
              </w:tabs>
              <w:snapToGrid w:val="0"/>
              <w:rPr>
                <w:rFonts w:ascii="Calibri" w:eastAsia="Calibri" w:hAnsi="Calibri"/>
                <w:szCs w:val="24"/>
              </w:rPr>
            </w:pPr>
          </w:p>
          <w:p w14:paraId="6C3872FD" w14:textId="77777777" w:rsidR="00613D33" w:rsidRPr="00647070" w:rsidRDefault="00613D33" w:rsidP="00377B9E">
            <w:pPr>
              <w:pStyle w:val="Kehatekst1"/>
              <w:tabs>
                <w:tab w:val="left" w:pos="6521"/>
              </w:tabs>
              <w:snapToGrid w:val="0"/>
              <w:rPr>
                <w:rFonts w:ascii="Calibri" w:eastAsia="Calibri" w:hAnsi="Calibri"/>
                <w:szCs w:val="24"/>
              </w:rPr>
            </w:pPr>
          </w:p>
          <w:p w14:paraId="4CA05071" w14:textId="77777777" w:rsidR="00613D33" w:rsidRPr="00647070" w:rsidRDefault="00613D33" w:rsidP="00377B9E">
            <w:pPr>
              <w:autoSpaceDE w:val="0"/>
              <w:jc w:val="both"/>
              <w:rPr>
                <w:b/>
              </w:rPr>
            </w:pPr>
            <w:r w:rsidRPr="00647070">
              <w:rPr>
                <w:b/>
              </w:rPr>
              <w:t>Pringi külas, kinnistu Pringi piirivalvekordon</w:t>
            </w:r>
          </w:p>
          <w:p w14:paraId="3D3AD4B2" w14:textId="77777777" w:rsidR="00613D33" w:rsidRPr="00647070" w:rsidRDefault="00613D33" w:rsidP="00377B9E">
            <w:pPr>
              <w:autoSpaceDE w:val="0"/>
              <w:jc w:val="both"/>
              <w:rPr>
                <w:b/>
              </w:rPr>
            </w:pPr>
            <w:r w:rsidRPr="00647070">
              <w:rPr>
                <w:rFonts w:eastAsia="Calibri"/>
                <w:b/>
              </w:rPr>
              <w:t>detailplaneeringu</w:t>
            </w:r>
            <w:r w:rsidRPr="00647070">
              <w:rPr>
                <w:b/>
              </w:rPr>
              <w:t xml:space="preserve"> </w:t>
            </w:r>
            <w:r w:rsidRPr="00647070">
              <w:rPr>
                <w:rFonts w:eastAsia="Calibri"/>
                <w:b/>
              </w:rPr>
              <w:t>menetluse lõpetamine</w:t>
            </w:r>
          </w:p>
          <w:p w14:paraId="14FE7BBF" w14:textId="77777777" w:rsidR="00613D33" w:rsidRPr="00647070" w:rsidRDefault="00613D33" w:rsidP="00377B9E">
            <w:pPr>
              <w:autoSpaceDE w:val="0"/>
              <w:jc w:val="both"/>
              <w:rPr>
                <w:rFonts w:eastAsia="Calibri"/>
                <w:b/>
              </w:rPr>
            </w:pPr>
          </w:p>
          <w:p w14:paraId="01DE0204" w14:textId="77777777" w:rsidR="00613D33" w:rsidRPr="00647070" w:rsidRDefault="00613D33" w:rsidP="00377B9E">
            <w:pPr>
              <w:autoSpaceDE w:val="0"/>
              <w:jc w:val="both"/>
              <w:rPr>
                <w:rFonts w:eastAsia="Calibri"/>
                <w:b/>
              </w:rPr>
            </w:pPr>
          </w:p>
          <w:p w14:paraId="3D000CB3" w14:textId="34D3705B" w:rsidR="00613D33" w:rsidRPr="00647070" w:rsidRDefault="00613D33" w:rsidP="00377B9E">
            <w:pPr>
              <w:autoSpaceDE w:val="0"/>
              <w:jc w:val="both"/>
            </w:pPr>
            <w:r w:rsidRPr="00647070">
              <w:t xml:space="preserve">Detailplaneering algatati 12.06.2007 Viimsi Vallavolikogu otsusega nr 52 Viimsi valla mandriosa üldplaneeringu kohase maakasutuse juhtotstarbe muutmiseks riigikaitsemaast sotsiaalmaaks ja elamumaaks, eesmärgiga jagada kinnistu ja määrata moodustatavate kruntide ehitusõigus munitsipaallasteaia ja korterelamu ehitamiseks. </w:t>
            </w:r>
            <w:r w:rsidR="004102F8" w:rsidRPr="00647070">
              <w:t>A</w:t>
            </w:r>
            <w:r w:rsidRPr="00647070">
              <w:t>lgatamise ettepaneku on teinud Viimsi Vallavalitsus.</w:t>
            </w:r>
          </w:p>
          <w:p w14:paraId="45F4002D" w14:textId="77777777" w:rsidR="00613D33" w:rsidRPr="00647070" w:rsidRDefault="00613D33" w:rsidP="00377B9E">
            <w:pPr>
              <w:autoSpaceDE w:val="0"/>
              <w:jc w:val="both"/>
            </w:pPr>
          </w:p>
          <w:p w14:paraId="3CB7A453" w14:textId="22243FDE" w:rsidR="00613D33" w:rsidRPr="00647070" w:rsidRDefault="00E00ACB" w:rsidP="00377B9E">
            <w:pPr>
              <w:autoSpaceDE w:val="0"/>
              <w:jc w:val="both"/>
              <w:rPr>
                <w:b/>
              </w:rPr>
            </w:pPr>
            <w:r w:rsidRPr="00647070">
              <w:t xml:space="preserve">Pringi külas, kinnistu Pringi piirivalvekordon </w:t>
            </w:r>
            <w:r w:rsidRPr="00647070">
              <w:rPr>
                <w:rFonts w:eastAsia="Calibri"/>
              </w:rPr>
              <w:t>detailplaneeringu</w:t>
            </w:r>
            <w:r w:rsidRPr="00647070">
              <w:rPr>
                <w:b/>
              </w:rPr>
              <w:t xml:space="preserve"> </w:t>
            </w:r>
            <w:r w:rsidRPr="00647070">
              <w:t xml:space="preserve">keskkonnamõju strateegilise hindamise jäeti algatamata 07.01.2011 Viimsi Vallavalitsuse korraldusega nr 19. </w:t>
            </w:r>
            <w:r w:rsidR="00613D33" w:rsidRPr="00647070">
              <w:t xml:space="preserve">Detailplaneering võeti vastu ja suunati avalikule väljapanekule 18.01.2011 Viimsi Vallavolikogu otsusega nr 4. </w:t>
            </w:r>
          </w:p>
          <w:p w14:paraId="6C27E628" w14:textId="77777777" w:rsidR="00613D33" w:rsidRPr="00647070" w:rsidRDefault="00613D33" w:rsidP="00377B9E">
            <w:pPr>
              <w:autoSpaceDE w:val="0"/>
              <w:jc w:val="both"/>
            </w:pPr>
          </w:p>
          <w:p w14:paraId="51B57CD9" w14:textId="77777777" w:rsidR="00613D33" w:rsidRPr="00647070" w:rsidRDefault="00613D33" w:rsidP="00377B9E">
            <w:pPr>
              <w:autoSpaceDE w:val="0"/>
              <w:jc w:val="both"/>
            </w:pPr>
            <w:r w:rsidRPr="00647070">
              <w:t xml:space="preserve">Detailplaneeringu menetlus on kestnud üle 11 aasta, kuid selle aja jooksul ei ole planeeringut kehtestatud. Ehitusseadustiku ja planeerimisseaduse rakendamise seaduse § 1 lõike 4 kohaselt enne käesoleva seaduse jõustumist algatatud detailplaneeringu menetlus viiakse lõpule hiljemalt 2018. aasta 1. juuliks. </w:t>
            </w:r>
          </w:p>
          <w:p w14:paraId="3A837576" w14:textId="77777777" w:rsidR="00613D33" w:rsidRPr="00647070" w:rsidRDefault="00613D33" w:rsidP="00377B9E">
            <w:pPr>
              <w:pStyle w:val="Default"/>
              <w:jc w:val="both"/>
              <w:rPr>
                <w:lang w:val="et-EE"/>
              </w:rPr>
            </w:pPr>
          </w:p>
          <w:p w14:paraId="603E0788" w14:textId="77777777" w:rsidR="00613D33" w:rsidRPr="00647070" w:rsidRDefault="00613D33" w:rsidP="00377B9E">
            <w:pPr>
              <w:pStyle w:val="Default"/>
              <w:jc w:val="both"/>
              <w:rPr>
                <w:lang w:val="et-EE"/>
              </w:rPr>
            </w:pPr>
            <w:r w:rsidRPr="00647070">
              <w:rPr>
                <w:lang w:val="et-EE"/>
              </w:rPr>
              <w:t>Nimetatud aja möödudes peab kohalik omavalitsus tegema detailplaneeringu kehtestamise või kehtestamata jätmise otsuse. Tähtaja kehtestamine aitab tagada, et detailplaneeringute koostamine toimuks mõistliku aja jooksul ega jääks venima. Planeerimisseaduse (edaspidi PlanS) § 129 lõike 1 kohaselt võib detailplaneeringu koostamise lõpetada, kui koostamise käigus ilmnevad asjaolud, mis välistavad planeeringu elluviimise tulevikus. PlanS § 124 lõike 2 kohaselt on detailplaneeringu eesmärk eelkõige üldplaneeringu elluviimine ja planeeringualale ruumilise terviklahenduse loomine.</w:t>
            </w:r>
          </w:p>
          <w:p w14:paraId="46B3DA2D" w14:textId="77777777" w:rsidR="00613D33" w:rsidRPr="00647070" w:rsidRDefault="00613D33" w:rsidP="00377B9E">
            <w:pPr>
              <w:autoSpaceDE w:val="0"/>
              <w:jc w:val="both"/>
              <w:rPr>
                <w:b/>
              </w:rPr>
            </w:pPr>
          </w:p>
          <w:p w14:paraId="7CC5CE28" w14:textId="77777777" w:rsidR="00613D33" w:rsidRPr="00647070" w:rsidRDefault="00613D33" w:rsidP="00377B9E">
            <w:pPr>
              <w:autoSpaceDE w:val="0"/>
              <w:jc w:val="both"/>
            </w:pPr>
            <w:r w:rsidRPr="00647070">
              <w:t>Antud juhul detailplaneeringu menetlemine rohkem kui 11 aastat ei ole mõistlik menetlus ja ei saa tagada nõutud ruumilist planeerimist. 06.03.2019 toimunud Viimsi Vallavalitsuse Planeerimiskomisjoni koosolekul otsustati lõpetada Pringi külas, kinnistu Pringi piirivalvekordon detailplaneeringu menetlus.</w:t>
            </w:r>
          </w:p>
          <w:p w14:paraId="4B82BE41" w14:textId="77777777" w:rsidR="00613D33" w:rsidRPr="00647070" w:rsidRDefault="00613D33" w:rsidP="00377B9E">
            <w:pPr>
              <w:jc w:val="both"/>
            </w:pPr>
          </w:p>
          <w:p w14:paraId="71C9A8D7" w14:textId="77777777" w:rsidR="00613D33" w:rsidRPr="00647070" w:rsidRDefault="00613D33" w:rsidP="00377B9E">
            <w:pPr>
              <w:jc w:val="both"/>
            </w:pPr>
            <w:r w:rsidRPr="00647070">
              <w:t>Eeltoodut arvestades ja juhindudes haldusmenetluse seadus</w:t>
            </w:r>
            <w:r w:rsidRPr="00647070">
              <w:rPr>
                <w:iCs/>
              </w:rPr>
              <w:t xml:space="preserve">e </w:t>
            </w:r>
            <w:r w:rsidRPr="00647070">
              <w:t xml:space="preserve">§ 68 lõikest 2, planeerimisseaduse § 129 lõikest 1, ehitusseadustiku ja planeerimisseaduse rakendamise seaduse § 1 lõikest 4, </w:t>
            </w:r>
            <w:r w:rsidRPr="00647070">
              <w:rPr>
                <w:color w:val="202020"/>
                <w:shd w:val="clear" w:color="auto" w:fill="FFFFFF"/>
              </w:rPr>
              <w:lastRenderedPageBreak/>
              <w:t>27.04.2016 Viimsi Vallavolikogu otsusega nr 17 vastu võetud </w:t>
            </w:r>
            <w:r w:rsidRPr="00647070">
              <w:t xml:space="preserve"> määruse „Planeerimisseaduse rakendamine Viimsi vallas“ </w:t>
            </w:r>
            <w:r w:rsidRPr="00647070">
              <w:rPr>
                <w:color w:val="000000"/>
              </w:rPr>
              <w:t xml:space="preserve">Viimsi Vallavolikogu </w:t>
            </w:r>
            <w:r w:rsidRPr="00647070">
              <w:t>otsustab:</w:t>
            </w:r>
          </w:p>
          <w:p w14:paraId="605F2927" w14:textId="77777777" w:rsidR="00613D33" w:rsidRPr="00647070" w:rsidRDefault="00613D33" w:rsidP="00377B9E">
            <w:pPr>
              <w:jc w:val="both"/>
              <w:rPr>
                <w:highlight w:val="yellow"/>
              </w:rPr>
            </w:pPr>
          </w:p>
          <w:p w14:paraId="3DBAB07C" w14:textId="280456D4" w:rsidR="00613D33" w:rsidRPr="00647070" w:rsidRDefault="00613D33" w:rsidP="00613D33">
            <w:pPr>
              <w:numPr>
                <w:ilvl w:val="0"/>
                <w:numId w:val="1"/>
              </w:numPr>
              <w:jc w:val="both"/>
            </w:pPr>
            <w:r w:rsidRPr="00647070">
              <w:t xml:space="preserve">Lõpetada Pringi külas, kinnistu Pringi piirivalvekordon detailplaneeringu </w:t>
            </w:r>
            <w:r w:rsidR="00647070">
              <w:t>koostamine</w:t>
            </w:r>
            <w:r w:rsidRPr="00647070">
              <w:t>.</w:t>
            </w:r>
          </w:p>
          <w:p w14:paraId="3E114D6E" w14:textId="4FA87978" w:rsidR="00613D33" w:rsidRPr="00647070" w:rsidRDefault="00613D33" w:rsidP="00613D33">
            <w:pPr>
              <w:numPr>
                <w:ilvl w:val="0"/>
                <w:numId w:val="1"/>
              </w:numPr>
              <w:jc w:val="both"/>
            </w:pPr>
            <w:r w:rsidRPr="00647070">
              <w:rPr>
                <w:iCs/>
              </w:rPr>
              <w:t xml:space="preserve">Viimsi Vallavalitsuse </w:t>
            </w:r>
            <w:r w:rsidR="00647070">
              <w:t>k</w:t>
            </w:r>
            <w:r w:rsidRPr="00647070">
              <w:t xml:space="preserve">eskkonna- ja planeerimisosakonnal avaldada otsus ajalehes, mille Viimsi vald on </w:t>
            </w:r>
            <w:r w:rsidRPr="00647070">
              <w:rPr>
                <w:color w:val="202020"/>
                <w:shd w:val="clear" w:color="auto" w:fill="FFFFFF"/>
              </w:rPr>
              <w:t>määranud ametlike teadete avaldamise kohaks</w:t>
            </w:r>
            <w:r w:rsidRPr="00647070">
              <w:t xml:space="preserve"> ja valla kodulehel.</w:t>
            </w:r>
          </w:p>
          <w:p w14:paraId="38D43A45" w14:textId="77777777" w:rsidR="00613D33" w:rsidRPr="00647070" w:rsidRDefault="00613D33" w:rsidP="00613D33">
            <w:pPr>
              <w:numPr>
                <w:ilvl w:val="0"/>
                <w:numId w:val="1"/>
              </w:numPr>
              <w:jc w:val="both"/>
            </w:pPr>
            <w:r w:rsidRPr="00647070">
              <w:t>Otsus jõustub teatavakstegemisest.</w:t>
            </w:r>
          </w:p>
          <w:p w14:paraId="40CC4394" w14:textId="77777777" w:rsidR="00613D33" w:rsidRPr="00647070" w:rsidRDefault="00613D33" w:rsidP="00613D33">
            <w:pPr>
              <w:numPr>
                <w:ilvl w:val="0"/>
                <w:numId w:val="1"/>
              </w:numPr>
              <w:jc w:val="both"/>
            </w:pPr>
            <w:r w:rsidRPr="00647070">
              <w:t xml:space="preserve">Otsust on võimalik vaidlustada Tallinna Halduskohtus (Pärnu mnt 7, Tallinn 15082) </w:t>
            </w:r>
            <w:r w:rsidRPr="00647070">
              <w:rPr>
                <w:spacing w:val="-4"/>
              </w:rPr>
              <w:t>või esitada vaie Viimsi Vallavolikogule</w:t>
            </w:r>
            <w:r w:rsidRPr="00647070">
              <w:t xml:space="preserve"> 30 päeva jooksul arvates otsuse teatavakstegemisest</w:t>
            </w:r>
          </w:p>
          <w:p w14:paraId="77496EC9" w14:textId="77777777" w:rsidR="00613D33" w:rsidRPr="00647070" w:rsidRDefault="00613D33" w:rsidP="00377B9E">
            <w:pPr>
              <w:pStyle w:val="Kehatekst1"/>
              <w:tabs>
                <w:tab w:val="left" w:pos="6521"/>
              </w:tabs>
              <w:snapToGrid w:val="0"/>
              <w:rPr>
                <w:rFonts w:ascii="Calibri" w:eastAsia="Calibri" w:hAnsi="Calibri"/>
                <w:szCs w:val="24"/>
              </w:rPr>
            </w:pPr>
          </w:p>
        </w:tc>
      </w:tr>
      <w:tr w:rsidR="00613D33" w:rsidRPr="00343C10" w14:paraId="256D73BA" w14:textId="77777777" w:rsidTr="00377B9E">
        <w:tc>
          <w:tcPr>
            <w:tcW w:w="4913" w:type="dxa"/>
            <w:shd w:val="clear" w:color="auto" w:fill="auto"/>
          </w:tcPr>
          <w:p w14:paraId="51569C1B" w14:textId="77777777" w:rsidR="00613D33" w:rsidRPr="00343C10" w:rsidRDefault="00613D33" w:rsidP="00377B9E">
            <w:pPr>
              <w:autoSpaceDE w:val="0"/>
              <w:jc w:val="both"/>
            </w:pPr>
          </w:p>
        </w:tc>
        <w:tc>
          <w:tcPr>
            <w:tcW w:w="4382" w:type="dxa"/>
            <w:gridSpan w:val="2"/>
            <w:shd w:val="clear" w:color="auto" w:fill="auto"/>
          </w:tcPr>
          <w:p w14:paraId="02AF982C" w14:textId="77777777" w:rsidR="00613D33" w:rsidRPr="00343C10" w:rsidRDefault="00613D33" w:rsidP="00377B9E">
            <w:pPr>
              <w:pStyle w:val="Kehatekst1"/>
              <w:tabs>
                <w:tab w:val="left" w:pos="6521"/>
              </w:tabs>
              <w:snapToGrid w:val="0"/>
              <w:rPr>
                <w:szCs w:val="24"/>
              </w:rPr>
            </w:pPr>
          </w:p>
        </w:tc>
      </w:tr>
      <w:tr w:rsidR="00613D33" w:rsidRPr="00343C10" w14:paraId="00261C7D" w14:textId="77777777" w:rsidTr="00377B9E">
        <w:tc>
          <w:tcPr>
            <w:tcW w:w="9295" w:type="dxa"/>
            <w:gridSpan w:val="3"/>
            <w:shd w:val="clear" w:color="auto" w:fill="auto"/>
          </w:tcPr>
          <w:p w14:paraId="72FD72B2" w14:textId="77777777" w:rsidR="00613D33" w:rsidRPr="00343C10" w:rsidRDefault="00613D33" w:rsidP="00377B9E">
            <w:pPr>
              <w:pStyle w:val="Kehatekst1"/>
              <w:tabs>
                <w:tab w:val="left" w:pos="6521"/>
              </w:tabs>
              <w:snapToGrid w:val="0"/>
              <w:rPr>
                <w:rFonts w:eastAsia="Calibri"/>
                <w:szCs w:val="24"/>
              </w:rPr>
            </w:pPr>
          </w:p>
        </w:tc>
      </w:tr>
      <w:tr w:rsidR="00613D33" w:rsidRPr="00343C10" w14:paraId="6D74727A" w14:textId="77777777" w:rsidTr="00377B9E">
        <w:tc>
          <w:tcPr>
            <w:tcW w:w="9295" w:type="dxa"/>
            <w:gridSpan w:val="3"/>
            <w:shd w:val="clear" w:color="auto" w:fill="auto"/>
          </w:tcPr>
          <w:p w14:paraId="511FAAC5" w14:textId="77777777" w:rsidR="00613D33" w:rsidRPr="00343C10" w:rsidRDefault="00613D33" w:rsidP="00377B9E">
            <w:bookmarkStart w:id="1" w:name="_Hlk4682302"/>
          </w:p>
          <w:p w14:paraId="46E72CB9" w14:textId="77777777" w:rsidR="00613D33" w:rsidRPr="00343C10" w:rsidRDefault="00613D33" w:rsidP="00377B9E">
            <w:r w:rsidRPr="00343C10">
              <w:t>Taavi Kotka</w:t>
            </w:r>
          </w:p>
          <w:p w14:paraId="2DAB7F50" w14:textId="77777777" w:rsidR="00613D33" w:rsidRPr="00343C10" w:rsidRDefault="00613D33" w:rsidP="00377B9E">
            <w:r w:rsidRPr="00343C10">
              <w:t>Vallavolikogu esimees</w:t>
            </w:r>
          </w:p>
          <w:p w14:paraId="273FEC31" w14:textId="77777777" w:rsidR="00613D33" w:rsidRPr="00343C10" w:rsidRDefault="00613D33" w:rsidP="00377B9E"/>
          <w:p w14:paraId="5A54DC41" w14:textId="77777777" w:rsidR="00613D33" w:rsidRPr="00343C10" w:rsidRDefault="00613D33" w:rsidP="00377B9E"/>
          <w:p w14:paraId="04929C42" w14:textId="77777777" w:rsidR="00613D33" w:rsidRPr="00343C10" w:rsidRDefault="00613D33" w:rsidP="00377B9E"/>
          <w:p w14:paraId="07814002" w14:textId="77777777" w:rsidR="00613D33" w:rsidRPr="00343C10" w:rsidRDefault="00613D33" w:rsidP="00377B9E">
            <w:pPr>
              <w:autoSpaceDE w:val="0"/>
              <w:jc w:val="both"/>
            </w:pPr>
            <w:r w:rsidRPr="00343C10">
              <w:t>Eelnõu esitaja: Viimsi Vallavalitsus, Keskkonna- ja planeerimisosakond</w:t>
            </w:r>
          </w:p>
          <w:p w14:paraId="048150C4" w14:textId="77777777" w:rsidR="00613D33" w:rsidRPr="00343C10" w:rsidRDefault="00613D33" w:rsidP="00377B9E">
            <w:pPr>
              <w:autoSpaceDE w:val="0"/>
              <w:jc w:val="both"/>
            </w:pPr>
            <w:r w:rsidRPr="00343C10">
              <w:t>Eelnõu koostaja: Tatjana Nikolajenkova, planeeringute peaspetsialist</w:t>
            </w:r>
          </w:p>
          <w:p w14:paraId="70041FFB" w14:textId="77777777" w:rsidR="00613D33" w:rsidRPr="00343C10" w:rsidRDefault="00613D33" w:rsidP="00377B9E">
            <w:pPr>
              <w:jc w:val="both"/>
            </w:pPr>
          </w:p>
          <w:p w14:paraId="694BC389" w14:textId="77777777" w:rsidR="00613D33" w:rsidRPr="00343C10" w:rsidRDefault="00613D33" w:rsidP="00377B9E">
            <w:pPr>
              <w:jc w:val="both"/>
            </w:pPr>
          </w:p>
          <w:p w14:paraId="1A995994" w14:textId="77777777" w:rsidR="00613D33" w:rsidRPr="00343C10" w:rsidRDefault="00613D33" w:rsidP="00377B9E">
            <w:pPr>
              <w:jc w:val="both"/>
            </w:pPr>
            <w:r w:rsidRPr="00343C10">
              <w:t>Kooskõlastatud:</w:t>
            </w:r>
          </w:p>
          <w:p w14:paraId="080E5172" w14:textId="77777777" w:rsidR="00613D33" w:rsidRPr="00343C10" w:rsidRDefault="00613D33" w:rsidP="00377B9E">
            <w:pPr>
              <w:jc w:val="both"/>
            </w:pPr>
          </w:p>
          <w:tbl>
            <w:tblPr>
              <w:tblW w:w="7864" w:type="dxa"/>
              <w:tblInd w:w="108" w:type="dxa"/>
              <w:tblLayout w:type="fixed"/>
              <w:tblLook w:val="0000" w:firstRow="0" w:lastRow="0" w:firstColumn="0" w:lastColumn="0" w:noHBand="0" w:noVBand="0"/>
            </w:tblPr>
            <w:tblGrid>
              <w:gridCol w:w="2986"/>
              <w:gridCol w:w="2986"/>
              <w:gridCol w:w="1892"/>
            </w:tblGrid>
            <w:tr w:rsidR="00613D33" w:rsidRPr="00343C10" w14:paraId="0892EC44" w14:textId="77777777" w:rsidTr="00377B9E">
              <w:tc>
                <w:tcPr>
                  <w:tcW w:w="2986" w:type="dxa"/>
                </w:tcPr>
                <w:p w14:paraId="28572B40" w14:textId="77777777" w:rsidR="00613D33" w:rsidRPr="00343C10" w:rsidRDefault="00613D33" w:rsidP="00377B9E">
                  <w:pPr>
                    <w:jc w:val="both"/>
                  </w:pPr>
                  <w:r w:rsidRPr="00343C10">
                    <w:t>Margus Kruusmägi</w:t>
                  </w:r>
                </w:p>
              </w:tc>
              <w:tc>
                <w:tcPr>
                  <w:tcW w:w="2986" w:type="dxa"/>
                </w:tcPr>
                <w:p w14:paraId="33230FDE" w14:textId="77777777" w:rsidR="00613D33" w:rsidRPr="00343C10" w:rsidRDefault="00613D33" w:rsidP="00377B9E">
                  <w:pPr>
                    <w:jc w:val="both"/>
                  </w:pPr>
                  <w:r w:rsidRPr="00343C10">
                    <w:t>Helen Rives</w:t>
                  </w:r>
                </w:p>
              </w:tc>
              <w:tc>
                <w:tcPr>
                  <w:tcW w:w="1892" w:type="dxa"/>
                  <w:shd w:val="clear" w:color="auto" w:fill="auto"/>
                </w:tcPr>
                <w:p w14:paraId="6324746A" w14:textId="77777777" w:rsidR="00613D33" w:rsidRPr="00343C10" w:rsidRDefault="00613D33" w:rsidP="00377B9E">
                  <w:pPr>
                    <w:jc w:val="both"/>
                  </w:pPr>
                  <w:r w:rsidRPr="00343C10">
                    <w:t>Peeter Rüütel</w:t>
                  </w:r>
                </w:p>
              </w:tc>
            </w:tr>
            <w:tr w:rsidR="00613D33" w:rsidRPr="00343C10" w14:paraId="37189186" w14:textId="77777777" w:rsidTr="00377B9E">
              <w:tc>
                <w:tcPr>
                  <w:tcW w:w="2986" w:type="dxa"/>
                </w:tcPr>
                <w:p w14:paraId="077E9372" w14:textId="77777777" w:rsidR="00613D33" w:rsidRPr="00343C10" w:rsidRDefault="00613D33" w:rsidP="00377B9E">
                  <w:pPr>
                    <w:jc w:val="both"/>
                  </w:pPr>
                  <w:r w:rsidRPr="00343C10">
                    <w:t>Abivallavanem</w:t>
                  </w:r>
                </w:p>
              </w:tc>
              <w:tc>
                <w:tcPr>
                  <w:tcW w:w="2986" w:type="dxa"/>
                </w:tcPr>
                <w:p w14:paraId="1DEB2C5F" w14:textId="77777777" w:rsidR="00613D33" w:rsidRPr="00343C10" w:rsidRDefault="00613D33" w:rsidP="00377B9E">
                  <w:pPr>
                    <w:jc w:val="both"/>
                  </w:pPr>
                  <w:r w:rsidRPr="00343C10">
                    <w:t>Vallasekretär</w:t>
                  </w:r>
                </w:p>
                <w:p w14:paraId="6211F594" w14:textId="77777777" w:rsidR="00613D33" w:rsidRPr="00343C10" w:rsidRDefault="00613D33" w:rsidP="00377B9E">
                  <w:pPr>
                    <w:jc w:val="both"/>
                  </w:pPr>
                </w:p>
              </w:tc>
              <w:tc>
                <w:tcPr>
                  <w:tcW w:w="1892" w:type="dxa"/>
                  <w:shd w:val="clear" w:color="auto" w:fill="auto"/>
                </w:tcPr>
                <w:p w14:paraId="66070A07" w14:textId="77777777" w:rsidR="00613D33" w:rsidRPr="00343C10" w:rsidRDefault="00613D33" w:rsidP="00377B9E">
                  <w:pPr>
                    <w:jc w:val="both"/>
                  </w:pPr>
                  <w:r w:rsidRPr="00343C10">
                    <w:t xml:space="preserve">Keskkonna- ja planeerimisameti juhataja </w:t>
                  </w:r>
                </w:p>
              </w:tc>
            </w:tr>
            <w:bookmarkEnd w:id="1"/>
          </w:tbl>
          <w:p w14:paraId="4493997F" w14:textId="77777777" w:rsidR="00613D33" w:rsidRPr="00343C10" w:rsidRDefault="00613D33" w:rsidP="00377B9E">
            <w:pPr>
              <w:pStyle w:val="Kehatekst1"/>
              <w:tabs>
                <w:tab w:val="left" w:pos="6521"/>
              </w:tabs>
              <w:snapToGrid w:val="0"/>
              <w:rPr>
                <w:rFonts w:eastAsia="Calibri"/>
                <w:szCs w:val="24"/>
              </w:rPr>
            </w:pPr>
          </w:p>
        </w:tc>
      </w:tr>
    </w:tbl>
    <w:p w14:paraId="00459A9C" w14:textId="77777777" w:rsidR="00B968AA" w:rsidRDefault="00A70B84"/>
    <w:sectPr w:rsidR="00B968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77AF" w14:textId="77777777" w:rsidR="00A70B84" w:rsidRDefault="00A70B84" w:rsidP="00613D33">
      <w:r>
        <w:separator/>
      </w:r>
    </w:p>
  </w:endnote>
  <w:endnote w:type="continuationSeparator" w:id="0">
    <w:p w14:paraId="5CD32E81" w14:textId="77777777" w:rsidR="00A70B84" w:rsidRDefault="00A70B84" w:rsidP="006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3AAC" w14:textId="77777777" w:rsidR="00A70B84" w:rsidRDefault="00A70B84" w:rsidP="00613D33">
      <w:r>
        <w:separator/>
      </w:r>
    </w:p>
  </w:footnote>
  <w:footnote w:type="continuationSeparator" w:id="0">
    <w:p w14:paraId="0F60B745" w14:textId="77777777" w:rsidR="00A70B84" w:rsidRDefault="00A70B84" w:rsidP="0061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0271D"/>
    <w:multiLevelType w:val="hybridMultilevel"/>
    <w:tmpl w:val="5AC4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33"/>
    <w:rsid w:val="001B6E3A"/>
    <w:rsid w:val="004102F8"/>
    <w:rsid w:val="005A5FC1"/>
    <w:rsid w:val="00613D33"/>
    <w:rsid w:val="00647070"/>
    <w:rsid w:val="008E7D26"/>
    <w:rsid w:val="009052C2"/>
    <w:rsid w:val="00954AC4"/>
    <w:rsid w:val="00A53576"/>
    <w:rsid w:val="00A70B84"/>
    <w:rsid w:val="00B11731"/>
    <w:rsid w:val="00BE3E0F"/>
    <w:rsid w:val="00CE3E30"/>
    <w:rsid w:val="00E00ACB"/>
    <w:rsid w:val="00E1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9677"/>
  <w15:chartTrackingRefBased/>
  <w15:docId w15:val="{BE002C19-25D0-4C6C-A496-11D5ADA2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33"/>
    <w:pPr>
      <w:spacing w:after="0" w:line="240" w:lineRule="auto"/>
    </w:pPr>
    <w:rPr>
      <w:rFonts w:ascii="Times New Roman" w:eastAsia="Times New Roman" w:hAnsi="Times New Roman" w:cs="Times New Roman"/>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D33"/>
    <w:pPr>
      <w:jc w:val="both"/>
    </w:pPr>
    <w:rPr>
      <w:sz w:val="28"/>
      <w:szCs w:val="20"/>
    </w:rPr>
  </w:style>
  <w:style w:type="character" w:customStyle="1" w:styleId="BodyTextChar">
    <w:name w:val="Body Text Char"/>
    <w:basedOn w:val="DefaultParagraphFont"/>
    <w:link w:val="BodyText"/>
    <w:rsid w:val="00613D33"/>
    <w:rPr>
      <w:rFonts w:ascii="Times New Roman" w:eastAsia="Times New Roman" w:hAnsi="Times New Roman" w:cs="Times New Roman"/>
      <w:sz w:val="28"/>
      <w:szCs w:val="20"/>
      <w:lang w:val="et-EE"/>
    </w:rPr>
  </w:style>
  <w:style w:type="paragraph" w:customStyle="1" w:styleId="Pea">
    <w:name w:val="Pea"/>
    <w:basedOn w:val="BodyText"/>
    <w:rsid w:val="00613D33"/>
    <w:pPr>
      <w:ind w:left="-1134"/>
      <w:jc w:val="center"/>
    </w:pPr>
  </w:style>
  <w:style w:type="paragraph" w:customStyle="1" w:styleId="Kehatekst1">
    <w:name w:val="Kehatekst1"/>
    <w:basedOn w:val="Normal"/>
    <w:rsid w:val="00613D33"/>
    <w:pPr>
      <w:jc w:val="both"/>
    </w:pPr>
    <w:rPr>
      <w:kern w:val="1"/>
      <w:szCs w:val="20"/>
      <w:lang w:eastAsia="ar-SA"/>
    </w:rPr>
  </w:style>
  <w:style w:type="paragraph" w:customStyle="1" w:styleId="Default">
    <w:name w:val="Default"/>
    <w:rsid w:val="00613D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13D33"/>
    <w:pPr>
      <w:tabs>
        <w:tab w:val="center" w:pos="4680"/>
        <w:tab w:val="right" w:pos="9360"/>
      </w:tabs>
    </w:pPr>
  </w:style>
  <w:style w:type="character" w:customStyle="1" w:styleId="HeaderChar">
    <w:name w:val="Header Char"/>
    <w:basedOn w:val="DefaultParagraphFont"/>
    <w:link w:val="Header"/>
    <w:uiPriority w:val="99"/>
    <w:rsid w:val="00613D33"/>
    <w:rPr>
      <w:rFonts w:ascii="Times New Roman" w:eastAsia="Times New Roman" w:hAnsi="Times New Roman" w:cs="Times New Roman"/>
      <w:sz w:val="24"/>
      <w:szCs w:val="24"/>
      <w:lang w:val="et-EE"/>
    </w:rPr>
  </w:style>
  <w:style w:type="paragraph" w:styleId="Footer">
    <w:name w:val="footer"/>
    <w:basedOn w:val="Normal"/>
    <w:link w:val="FooterChar"/>
    <w:uiPriority w:val="99"/>
    <w:unhideWhenUsed/>
    <w:rsid w:val="00613D33"/>
    <w:pPr>
      <w:tabs>
        <w:tab w:val="center" w:pos="4680"/>
        <w:tab w:val="right" w:pos="9360"/>
      </w:tabs>
    </w:pPr>
  </w:style>
  <w:style w:type="character" w:customStyle="1" w:styleId="FooterChar">
    <w:name w:val="Footer Char"/>
    <w:basedOn w:val="DefaultParagraphFont"/>
    <w:link w:val="Footer"/>
    <w:uiPriority w:val="99"/>
    <w:rsid w:val="00613D33"/>
    <w:rPr>
      <w:rFonts w:ascii="Times New Roman" w:eastAsia="Times New Roman" w:hAnsi="Times New Roman" w:cs="Times New Roman"/>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E12D-11C9-47F0-93C0-18564E49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Nikolajenkova</dc:creator>
  <cp:keywords/>
  <dc:description/>
  <cp:lastModifiedBy>Liina Mugu</cp:lastModifiedBy>
  <cp:revision>5</cp:revision>
  <dcterms:created xsi:type="dcterms:W3CDTF">2019-04-11T11:05:00Z</dcterms:created>
  <dcterms:modified xsi:type="dcterms:W3CDTF">2019-04-18T11:17:00Z</dcterms:modified>
</cp:coreProperties>
</file>